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01E2" w:rsidTr="00764A0D">
        <w:trPr>
          <w:jc w:val="center"/>
        </w:trPr>
        <w:tc>
          <w:tcPr>
            <w:tcW w:w="743" w:type="dxa"/>
          </w:tcPr>
          <w:p w:rsidR="002901E2" w:rsidRDefault="002901E2" w:rsidP="00764A0D">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01E2" w:rsidRDefault="002901E2" w:rsidP="00764A0D">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פליקס גורודצקי</w:t>
                </w:r>
              </w:sdtContent>
            </w:sdt>
          </w:p>
          <w:p w:rsidR="002901E2" w:rsidRDefault="002901E2" w:rsidP="00764A0D">
            <w:pPr>
              <w:rPr>
                <w:rFonts w:ascii="Arial" w:hAnsi="Arial" w:cs="FrankRuehl"/>
                <w:sz w:val="28"/>
                <w:szCs w:val="28"/>
                <w:highlight w:val="yellow"/>
              </w:rPr>
            </w:pPr>
          </w:p>
        </w:tc>
      </w:tr>
      <w:tr w:rsidR="002901E2" w:rsidTr="00764A0D">
        <w:trPr>
          <w:jc w:val="center"/>
        </w:trPr>
        <w:tc>
          <w:tcPr>
            <w:tcW w:w="3249" w:type="dxa"/>
            <w:gridSpan w:val="2"/>
          </w:tcPr>
          <w:p w:rsidR="002901E2" w:rsidRDefault="002901E2" w:rsidP="00764A0D">
            <w:pPr>
              <w:bidi w:val="0"/>
              <w:jc w:val="right"/>
              <w:rPr>
                <w:rFonts w:ascii="Arial" w:hAnsi="Arial"/>
                <w:b/>
                <w:bCs/>
                <w:noProof w:val="0"/>
                <w:sz w:val="26"/>
                <w:szCs w:val="26"/>
              </w:rPr>
            </w:pPr>
          </w:p>
          <w:sdt>
            <w:sdtPr>
              <w:alias w:val="1180"/>
              <w:tag w:val="1180"/>
              <w:id w:val="-1016538661"/>
              <w:text w:multiLine="1"/>
            </w:sdtPr>
            <w:sdtEndPr/>
            <w:sdtContent>
              <w:p w:rsidR="002901E2" w:rsidRDefault="002901E2" w:rsidP="00764A0D">
                <w:pPr>
                  <w:bidi w:val="0"/>
                  <w:jc w:val="right"/>
                  <w:rPr>
                    <w:rFonts w:ascii="Arial" w:hAnsi="Arial"/>
                    <w:b/>
                    <w:bCs/>
                    <w:noProof w:val="0"/>
                    <w:sz w:val="26"/>
                    <w:szCs w:val="26"/>
                    <w:rtl/>
                  </w:rPr>
                </w:pPr>
                <w:r>
                  <w:rPr>
                    <w:rFonts w:ascii="Arial" w:hAnsi="Arial" w:hint="cs"/>
                    <w:b/>
                    <w:bCs/>
                    <w:noProof w:val="0"/>
                    <w:sz w:val="26"/>
                    <w:szCs w:val="26"/>
                    <w:rtl/>
                  </w:rPr>
                  <w:t>תובעת</w:t>
                </w:r>
              </w:p>
            </w:sdtContent>
          </w:sdt>
        </w:tc>
        <w:tc>
          <w:tcPr>
            <w:tcW w:w="5571" w:type="dxa"/>
          </w:tcPr>
          <w:p w:rsidR="002901E2" w:rsidRDefault="002901E2" w:rsidP="00764A0D">
            <w:pPr>
              <w:rPr>
                <w:rFonts w:ascii="Arial" w:hAnsi="Arial"/>
                <w:b/>
                <w:bCs/>
                <w:noProof w:val="0"/>
                <w:sz w:val="26"/>
                <w:szCs w:val="26"/>
              </w:rPr>
            </w:pPr>
          </w:p>
          <w:p w:rsidR="002901E2" w:rsidRDefault="00B65BFF" w:rsidP="000902D9">
            <w:pPr>
              <w:rPr>
                <w:b/>
                <w:bCs/>
                <w:noProof w:val="0"/>
                <w:sz w:val="26"/>
                <w:szCs w:val="26"/>
              </w:rPr>
            </w:pPr>
            <w:sdt>
              <w:sdtPr>
                <w:rPr>
                  <w:rtl/>
                </w:rPr>
                <w:alias w:val="1478"/>
                <w:tag w:val="1478"/>
                <w:id w:val="-893967435"/>
                <w:text w:multiLine="1"/>
              </w:sdtPr>
              <w:sdtEndPr/>
              <w:sdtContent>
                <w:r w:rsidR="005234BE">
                  <w:rPr>
                    <w:rFonts w:ascii="Arial" w:hAnsi="Arial" w:hint="cs"/>
                    <w:b/>
                    <w:bCs/>
                    <w:noProof w:val="0"/>
                    <w:sz w:val="26"/>
                    <w:szCs w:val="26"/>
                    <w:rtl/>
                  </w:rPr>
                  <w:t>פלונית</w:t>
                </w:r>
              </w:sdtContent>
            </w:sdt>
            <w:r w:rsidR="002901E2">
              <w:rPr>
                <w:rFonts w:ascii="Arial" w:hAnsi="Arial" w:hint="cs"/>
                <w:b/>
                <w:bCs/>
                <w:noProof w:val="0"/>
                <w:sz w:val="26"/>
                <w:szCs w:val="26"/>
                <w:rtl/>
              </w:rPr>
              <w:t xml:space="preserve"> </w:t>
            </w:r>
            <w:sdt>
              <w:sdtPr>
                <w:rPr>
                  <w:rtl/>
                </w:rPr>
                <w:alias w:val="2315"/>
                <w:tag w:val="2315"/>
                <w:id w:val="796254826"/>
                <w:showingPlcHdr/>
                <w:text w:multiLine="1"/>
              </w:sdtPr>
              <w:sdtEndPr/>
              <w:sdtContent>
                <w:r w:rsidR="005234BE">
                  <w:rPr>
                    <w:rtl/>
                  </w:rPr>
                  <w:t xml:space="preserve">     </w:t>
                </w:r>
              </w:sdtContent>
            </w:sdt>
            <w:r w:rsidR="002901E2">
              <w:rPr>
                <w:rFonts w:ascii="Arial" w:hAnsi="Arial" w:hint="cs"/>
                <w:b/>
                <w:bCs/>
                <w:noProof w:val="0"/>
                <w:sz w:val="26"/>
                <w:szCs w:val="26"/>
                <w:rtl/>
              </w:rPr>
              <w:t xml:space="preserve"> </w:t>
            </w:r>
            <w:sdt>
              <w:sdtPr>
                <w:rPr>
                  <w:rtl/>
                </w:rPr>
                <w:alias w:val="2316"/>
                <w:tag w:val="2316"/>
                <w:id w:val="1719778497"/>
                <w:text w:multiLine="1"/>
              </w:sdtPr>
              <w:sdtEndPr/>
              <w:sdtContent>
                <w:r w:rsidR="002901E2">
                  <w:rPr>
                    <w:rFonts w:ascii="Arial" w:hAnsi="Arial"/>
                    <w:b/>
                    <w:bCs/>
                    <w:noProof w:val="0"/>
                    <w:sz w:val="26"/>
                    <w:szCs w:val="26"/>
                    <w:rtl/>
                  </w:rPr>
                  <w:br/>
                </w:r>
                <w:r w:rsidR="005234BE">
                  <w:rPr>
                    <w:rtl/>
                  </w:rPr>
                  <w:br/>
                </w:r>
              </w:sdtContent>
            </w:sdt>
          </w:p>
        </w:tc>
      </w:tr>
      <w:tr w:rsidR="002901E2" w:rsidTr="00764A0D">
        <w:trPr>
          <w:jc w:val="center"/>
        </w:trPr>
        <w:tc>
          <w:tcPr>
            <w:tcW w:w="8820" w:type="dxa"/>
            <w:gridSpan w:val="3"/>
          </w:tcPr>
          <w:p w:rsidR="002901E2" w:rsidRDefault="002901E2" w:rsidP="00764A0D">
            <w:pPr>
              <w:rPr>
                <w:rFonts w:ascii="Arial" w:hAnsi="Arial"/>
                <w:b/>
                <w:bCs/>
                <w:noProof w:val="0"/>
                <w:sz w:val="26"/>
                <w:szCs w:val="26"/>
                <w:rtl/>
              </w:rPr>
            </w:pPr>
          </w:p>
          <w:p w:rsidR="002901E2" w:rsidRDefault="002901E2" w:rsidP="00764A0D">
            <w:pPr>
              <w:jc w:val="center"/>
              <w:rPr>
                <w:rFonts w:ascii="Arial" w:hAnsi="Arial"/>
                <w:b/>
                <w:bCs/>
                <w:noProof w:val="0"/>
                <w:sz w:val="26"/>
                <w:szCs w:val="26"/>
                <w:rtl/>
              </w:rPr>
            </w:pPr>
            <w:r>
              <w:rPr>
                <w:rFonts w:ascii="Arial" w:hAnsi="Arial"/>
                <w:b/>
                <w:bCs/>
                <w:noProof w:val="0"/>
                <w:sz w:val="26"/>
                <w:szCs w:val="26"/>
                <w:rtl/>
              </w:rPr>
              <w:t>נגד</w:t>
            </w:r>
          </w:p>
          <w:p w:rsidR="002901E2" w:rsidRDefault="002901E2" w:rsidP="00764A0D">
            <w:pPr>
              <w:rPr>
                <w:rFonts w:ascii="Arial" w:hAnsi="Arial"/>
                <w:b/>
                <w:bCs/>
                <w:noProof w:val="0"/>
                <w:sz w:val="26"/>
                <w:szCs w:val="26"/>
              </w:rPr>
            </w:pPr>
          </w:p>
        </w:tc>
      </w:tr>
      <w:tr w:rsidR="002901E2" w:rsidTr="00764A0D">
        <w:trPr>
          <w:jc w:val="center"/>
        </w:trPr>
        <w:tc>
          <w:tcPr>
            <w:tcW w:w="3249" w:type="dxa"/>
            <w:gridSpan w:val="2"/>
          </w:tcPr>
          <w:p w:rsidR="002901E2" w:rsidRDefault="002901E2" w:rsidP="00764A0D">
            <w:pPr>
              <w:rPr>
                <w:rFonts w:ascii="Arial" w:hAnsi="Arial"/>
                <w:b/>
                <w:bCs/>
                <w:noProof w:val="0"/>
                <w:sz w:val="26"/>
                <w:szCs w:val="26"/>
                <w:rtl/>
              </w:rPr>
            </w:pPr>
          </w:p>
          <w:p w:rsidR="002901E2" w:rsidRDefault="00B65BFF" w:rsidP="00764A0D">
            <w:pPr>
              <w:rPr>
                <w:rFonts w:ascii="Arial" w:hAnsi="Arial"/>
                <w:b/>
                <w:bCs/>
                <w:noProof w:val="0"/>
                <w:sz w:val="26"/>
                <w:szCs w:val="26"/>
              </w:rPr>
            </w:pPr>
            <w:sdt>
              <w:sdtPr>
                <w:rPr>
                  <w:rtl/>
                </w:rPr>
                <w:alias w:val="1184"/>
                <w:tag w:val="1184"/>
                <w:id w:val="-35981914"/>
                <w:text w:multiLine="1"/>
              </w:sdtPr>
              <w:sdtEndPr/>
              <w:sdtContent>
                <w:r w:rsidR="002901E2">
                  <w:rPr>
                    <w:rFonts w:ascii="Arial" w:hAnsi="Arial" w:hint="cs"/>
                    <w:b/>
                    <w:bCs/>
                    <w:noProof w:val="0"/>
                    <w:sz w:val="26"/>
                    <w:szCs w:val="26"/>
                    <w:rtl/>
                  </w:rPr>
                  <w:t>נתבע</w:t>
                </w:r>
              </w:sdtContent>
            </w:sdt>
          </w:p>
        </w:tc>
        <w:tc>
          <w:tcPr>
            <w:tcW w:w="5571" w:type="dxa"/>
          </w:tcPr>
          <w:p w:rsidR="002901E2" w:rsidRDefault="002901E2" w:rsidP="00764A0D">
            <w:pPr>
              <w:rPr>
                <w:rFonts w:ascii="Arial" w:hAnsi="Arial"/>
                <w:b/>
                <w:bCs/>
                <w:noProof w:val="0"/>
                <w:sz w:val="26"/>
                <w:szCs w:val="26"/>
                <w:rtl/>
              </w:rPr>
            </w:pPr>
          </w:p>
          <w:p w:rsidR="002901E2" w:rsidRDefault="00B65BFF" w:rsidP="005234BE">
            <w:pPr>
              <w:rPr>
                <w:b/>
                <w:bCs/>
                <w:noProof w:val="0"/>
                <w:sz w:val="26"/>
                <w:szCs w:val="26"/>
                <w:rtl/>
              </w:rPr>
            </w:pPr>
            <w:sdt>
              <w:sdtPr>
                <w:rPr>
                  <w:rtl/>
                </w:rPr>
                <w:alias w:val="1486"/>
                <w:tag w:val="1486"/>
                <w:id w:val="1442269409"/>
                <w:text w:multiLine="1"/>
              </w:sdtPr>
              <w:sdtEndPr/>
              <w:sdtContent>
                <w:r w:rsidR="005234BE">
                  <w:rPr>
                    <w:rFonts w:ascii="Arial" w:hAnsi="Arial" w:hint="cs"/>
                    <w:b/>
                    <w:bCs/>
                    <w:noProof w:val="0"/>
                    <w:sz w:val="26"/>
                    <w:szCs w:val="26"/>
                    <w:rtl/>
                  </w:rPr>
                  <w:t>פלוני</w:t>
                </w:r>
              </w:sdtContent>
            </w:sdt>
            <w:r w:rsidR="002901E2">
              <w:rPr>
                <w:rFonts w:ascii="Arial" w:hAnsi="Arial" w:hint="cs"/>
                <w:b/>
                <w:bCs/>
                <w:noProof w:val="0"/>
                <w:sz w:val="26"/>
                <w:szCs w:val="26"/>
                <w:rtl/>
              </w:rPr>
              <w:t xml:space="preserve"> </w:t>
            </w:r>
            <w:sdt>
              <w:sdtPr>
                <w:rPr>
                  <w:rtl/>
                </w:rPr>
                <w:alias w:val="2317"/>
                <w:tag w:val="2317"/>
                <w:id w:val="637381757"/>
                <w:showingPlcHdr/>
                <w:text w:multiLine="1"/>
              </w:sdtPr>
              <w:sdtEndPr/>
              <w:sdtContent>
                <w:r w:rsidR="005234BE">
                  <w:rPr>
                    <w:rtl/>
                  </w:rPr>
                  <w:t xml:space="preserve">     </w:t>
                </w:r>
              </w:sdtContent>
            </w:sdt>
            <w:r w:rsidR="002901E2">
              <w:rPr>
                <w:rFonts w:ascii="Arial" w:hAnsi="Arial" w:hint="cs"/>
                <w:b/>
                <w:bCs/>
                <w:noProof w:val="0"/>
                <w:sz w:val="26"/>
                <w:szCs w:val="26"/>
                <w:rtl/>
              </w:rPr>
              <w:t xml:space="preserve"> </w:t>
            </w:r>
          </w:p>
          <w:p w:rsidR="005234BE" w:rsidRDefault="005234BE" w:rsidP="005234BE">
            <w:pPr>
              <w:rPr>
                <w:noProof w:val="0"/>
                <w:rtl/>
              </w:rPr>
            </w:pPr>
          </w:p>
          <w:p w:rsidR="002901E2" w:rsidRPr="00494CA3" w:rsidRDefault="002901E2" w:rsidP="005234BE">
            <w:pPr>
              <w:rPr>
                <w:noProof w:val="0"/>
                <w:rtl/>
              </w:rPr>
            </w:pPr>
          </w:p>
        </w:tc>
      </w:tr>
      <w:tr w:rsidR="002901E2" w:rsidTr="00764A0D">
        <w:trPr>
          <w:jc w:val="center"/>
        </w:trPr>
        <w:tc>
          <w:tcPr>
            <w:tcW w:w="8820" w:type="dxa"/>
            <w:gridSpan w:val="3"/>
          </w:tcPr>
          <w:p w:rsidR="002901E2" w:rsidRDefault="002901E2" w:rsidP="00764A0D">
            <w:pPr>
              <w:rPr>
                <w:b/>
                <w:bCs/>
                <w:rtl/>
              </w:rPr>
            </w:pPr>
            <w:r>
              <w:rPr>
                <w:rFonts w:hint="cs"/>
                <w:b/>
                <w:bCs/>
                <w:rtl/>
              </w:rPr>
              <w:t xml:space="preserve"> </w:t>
            </w:r>
          </w:p>
          <w:p w:rsidR="002901E2" w:rsidRDefault="002901E2" w:rsidP="00D66B5D">
            <w:pPr>
              <w:rPr>
                <w:b/>
                <w:bCs/>
                <w:sz w:val="26"/>
                <w:szCs w:val="26"/>
              </w:rPr>
            </w:pPr>
            <w:r>
              <w:rPr>
                <w:rFonts w:hint="cs"/>
                <w:b/>
                <w:bCs/>
                <w:sz w:val="26"/>
                <w:szCs w:val="26"/>
                <w:rtl/>
              </w:rPr>
              <w:t xml:space="preserve">בעניין </w:t>
            </w:r>
            <w:sdt>
              <w:sdtPr>
                <w:rPr>
                  <w:rFonts w:hint="cs"/>
                  <w:b/>
                  <w:bCs/>
                  <w:sz w:val="26"/>
                  <w:szCs w:val="26"/>
                  <w:rtl/>
                </w:rPr>
                <w:alias w:val="2881"/>
                <w:tag w:val="2881"/>
                <w:id w:val="1925457325"/>
                <w:placeholder>
                  <w:docPart w:val="2BD239D1E61544E5B190B9AD8B2A3496"/>
                </w:placeholder>
                <w:text w:multiLine="1"/>
              </w:sdtPr>
              <w:sdtEndPr/>
              <w:sdtContent>
                <w:r>
                  <w:rPr>
                    <w:rFonts w:hint="cs"/>
                    <w:b/>
                    <w:bCs/>
                    <w:sz w:val="26"/>
                    <w:szCs w:val="26"/>
                    <w:rtl/>
                  </w:rPr>
                  <w:t>אדם שמונה לו אפוטרופוס</w:t>
                </w:r>
              </w:sdtContent>
            </w:sdt>
            <w:r>
              <w:rPr>
                <w:rFonts w:hint="cs"/>
                <w:b/>
                <w:bCs/>
                <w:sz w:val="26"/>
                <w:szCs w:val="26"/>
                <w:rtl/>
              </w:rPr>
              <w:t xml:space="preserve"> </w:t>
            </w:r>
            <w:r w:rsidR="00D66B5D">
              <w:rPr>
                <w:rFonts w:hint="cs"/>
                <w:b/>
                <w:bCs/>
                <w:sz w:val="26"/>
                <w:szCs w:val="26"/>
                <w:rtl/>
              </w:rPr>
              <w:t>א'</w:t>
            </w:r>
          </w:p>
          <w:p w:rsidR="002901E2" w:rsidRDefault="002901E2" w:rsidP="00764A0D">
            <w:pPr>
              <w:rPr>
                <w:rFonts w:ascii="Arial" w:hAnsi="Arial"/>
                <w:b/>
                <w:bCs/>
                <w:noProof w:val="0"/>
                <w:sz w:val="26"/>
                <w:szCs w:val="26"/>
                <w:rtl/>
              </w:rPr>
            </w:pPr>
          </w:p>
        </w:tc>
      </w:tr>
      <w:tr w:rsidR="002901E2" w:rsidRPr="00DA62CF" w:rsidTr="00764A0D">
        <w:trPr>
          <w:jc w:val="center"/>
        </w:trPr>
        <w:tc>
          <w:tcPr>
            <w:tcW w:w="8820" w:type="dxa"/>
            <w:gridSpan w:val="3"/>
          </w:tcPr>
          <w:p w:rsidR="002901E2" w:rsidRDefault="002901E2" w:rsidP="005234BE">
            <w:pPr>
              <w:bidi w:val="0"/>
              <w:jc w:val="center"/>
              <w:rPr>
                <w:rFonts w:ascii="Arial" w:hAnsi="Arial"/>
                <w:b/>
                <w:bCs/>
                <w:i/>
                <w:iCs/>
                <w:noProof w:val="0"/>
                <w:sz w:val="36"/>
                <w:szCs w:val="36"/>
                <w:u w:val="single"/>
                <w:rtl/>
              </w:rPr>
            </w:pPr>
            <w:r w:rsidRPr="00DA62CF">
              <w:rPr>
                <w:rFonts w:ascii="Arial" w:hAnsi="Arial"/>
                <w:b/>
                <w:bCs/>
                <w:i/>
                <w:iCs/>
                <w:noProof w:val="0"/>
                <w:sz w:val="36"/>
                <w:szCs w:val="36"/>
                <w:u w:val="single"/>
                <w:rtl/>
              </w:rPr>
              <w:t>פסק דין</w:t>
            </w:r>
          </w:p>
          <w:p w:rsidR="005234BE" w:rsidRPr="00DA62CF" w:rsidRDefault="005234BE" w:rsidP="005234BE">
            <w:pPr>
              <w:bidi w:val="0"/>
              <w:jc w:val="center"/>
              <w:rPr>
                <w:rFonts w:ascii="Arial" w:hAnsi="Arial"/>
                <w:b/>
                <w:bCs/>
                <w:i/>
                <w:iCs/>
                <w:noProof w:val="0"/>
                <w:sz w:val="36"/>
                <w:szCs w:val="36"/>
                <w:u w:val="single"/>
              </w:rPr>
            </w:pPr>
          </w:p>
        </w:tc>
      </w:tr>
    </w:tbl>
    <w:p w:rsidR="002901E2" w:rsidRDefault="002901E2" w:rsidP="002901E2">
      <w:pPr>
        <w:spacing w:line="360" w:lineRule="auto"/>
        <w:jc w:val="both"/>
        <w:rPr>
          <w:rFonts w:ascii="David" w:hAnsi="David"/>
          <w:noProof w:val="0"/>
        </w:rPr>
      </w:pPr>
      <w:r>
        <w:rPr>
          <w:rFonts w:ascii="David" w:hAnsi="David"/>
          <w:rtl/>
        </w:rPr>
        <w:t>לפניי שני הליכים משפטיים:</w:t>
      </w:r>
    </w:p>
    <w:p w:rsidR="002901E2" w:rsidRDefault="002901E2" w:rsidP="002901E2">
      <w:pPr>
        <w:spacing w:line="360" w:lineRule="auto"/>
        <w:jc w:val="both"/>
        <w:rPr>
          <w:rFonts w:ascii="David" w:hAnsi="David"/>
          <w:u w:val="single"/>
          <w:rtl/>
        </w:rPr>
      </w:pPr>
    </w:p>
    <w:p w:rsidR="002901E2" w:rsidRDefault="002901E2" w:rsidP="00631700">
      <w:pPr>
        <w:spacing w:line="360" w:lineRule="auto"/>
        <w:jc w:val="both"/>
        <w:rPr>
          <w:rFonts w:ascii="David" w:hAnsi="David"/>
          <w:rtl/>
        </w:rPr>
      </w:pPr>
      <w:r>
        <w:rPr>
          <w:rFonts w:ascii="David" w:hAnsi="David"/>
          <w:u w:val="single"/>
          <w:rtl/>
        </w:rPr>
        <w:t>א"פ 43054-04-23</w:t>
      </w:r>
      <w:r>
        <w:rPr>
          <w:rFonts w:ascii="David" w:hAnsi="David"/>
          <w:rtl/>
        </w:rPr>
        <w:t xml:space="preserve"> – שעניינו תביעה כספית על סך 29,837.50 ₪, במסגרתה עתרה </w:t>
      </w:r>
      <w:r w:rsidR="00631700">
        <w:rPr>
          <w:rFonts w:ascii="David" w:hAnsi="David" w:hint="cs"/>
          <w:rtl/>
        </w:rPr>
        <w:t>התובעת</w:t>
      </w:r>
      <w:r>
        <w:rPr>
          <w:rFonts w:ascii="David" w:hAnsi="David"/>
          <w:rtl/>
        </w:rPr>
        <w:t xml:space="preserve"> (להלן: "</w:t>
      </w:r>
      <w:r>
        <w:rPr>
          <w:rFonts w:ascii="David" w:hAnsi="David"/>
          <w:b/>
          <w:bCs/>
          <w:rtl/>
        </w:rPr>
        <w:t>האם</w:t>
      </w:r>
      <w:r>
        <w:rPr>
          <w:rFonts w:ascii="David" w:hAnsi="David"/>
          <w:rtl/>
        </w:rPr>
        <w:t>") להורות לנתבע (להלן: "</w:t>
      </w:r>
      <w:r>
        <w:rPr>
          <w:rFonts w:ascii="David" w:hAnsi="David"/>
          <w:b/>
          <w:bCs/>
          <w:rtl/>
        </w:rPr>
        <w:t>האב</w:t>
      </w:r>
      <w:r>
        <w:rPr>
          <w:rFonts w:ascii="David" w:hAnsi="David"/>
          <w:rtl/>
        </w:rPr>
        <w:t>") להשיב כספים שקיבל מאת המוסד לביטוח הלאומי (להלן: "</w:t>
      </w:r>
      <w:r>
        <w:rPr>
          <w:rFonts w:ascii="David" w:hAnsi="David"/>
          <w:b/>
          <w:bCs/>
          <w:rtl/>
        </w:rPr>
        <w:t>המל"ל</w:t>
      </w:r>
      <w:r>
        <w:rPr>
          <w:rFonts w:ascii="David" w:hAnsi="David"/>
          <w:rtl/>
        </w:rPr>
        <w:t xml:space="preserve">") בגין קצבת נכות וקצבת שירותים מיוחדים של הבת הבגירה </w:t>
      </w:r>
      <w:r w:rsidR="00A949BE">
        <w:rPr>
          <w:rFonts w:ascii="David" w:hAnsi="David" w:hint="cs"/>
          <w:rtl/>
        </w:rPr>
        <w:t>א'</w:t>
      </w:r>
      <w:r>
        <w:rPr>
          <w:rFonts w:ascii="David" w:hAnsi="David"/>
          <w:rtl/>
        </w:rPr>
        <w:t xml:space="preserve"> (להלן: "</w:t>
      </w:r>
      <w:r w:rsidR="007B1380">
        <w:rPr>
          <w:rFonts w:ascii="David" w:hAnsi="David" w:hint="cs"/>
          <w:b/>
          <w:bCs/>
          <w:rtl/>
        </w:rPr>
        <w:t>א'</w:t>
      </w:r>
      <w:r>
        <w:rPr>
          <w:rFonts w:ascii="David" w:hAnsi="David"/>
          <w:rtl/>
        </w:rPr>
        <w:t>").</w:t>
      </w:r>
    </w:p>
    <w:p w:rsidR="002901E2" w:rsidRDefault="002901E2" w:rsidP="002901E2">
      <w:pPr>
        <w:spacing w:line="360" w:lineRule="auto"/>
        <w:jc w:val="both"/>
        <w:rPr>
          <w:rFonts w:ascii="David" w:hAnsi="David"/>
          <w:u w:val="single"/>
          <w:rtl/>
        </w:rPr>
      </w:pPr>
    </w:p>
    <w:p w:rsidR="002901E2" w:rsidRDefault="002901E2" w:rsidP="00E54CF6">
      <w:pPr>
        <w:spacing w:line="360" w:lineRule="auto"/>
        <w:jc w:val="both"/>
        <w:rPr>
          <w:rFonts w:ascii="David" w:hAnsi="David"/>
          <w:rtl/>
        </w:rPr>
      </w:pPr>
      <w:r>
        <w:rPr>
          <w:rFonts w:ascii="David" w:hAnsi="David"/>
          <w:u w:val="single"/>
          <w:rtl/>
        </w:rPr>
        <w:t>א"פ 55192-04-23</w:t>
      </w:r>
      <w:r>
        <w:rPr>
          <w:rFonts w:ascii="David" w:hAnsi="David"/>
          <w:rtl/>
        </w:rPr>
        <w:t xml:space="preserve"> – שעניינו תביעה למתן צו המורה לאב למסור מידע ומסמכים על אודות מכלול קצבאות הנכות והשר"ם ששולמו לו עבור </w:t>
      </w:r>
      <w:r w:rsidR="00A949BE">
        <w:rPr>
          <w:rFonts w:ascii="David" w:hAnsi="David"/>
          <w:rtl/>
        </w:rPr>
        <w:t>א'</w:t>
      </w:r>
      <w:r>
        <w:rPr>
          <w:rFonts w:ascii="David" w:hAnsi="David"/>
          <w:rtl/>
        </w:rPr>
        <w:t>, החל ממועד הגעתה לבגרות (</w:t>
      </w:r>
      <w:r w:rsidR="00E54CF6">
        <w:rPr>
          <w:rFonts w:ascii="David" w:hAnsi="David" w:hint="cs"/>
          <w:rtl/>
        </w:rPr>
        <w:t>00</w:t>
      </w:r>
      <w:r>
        <w:rPr>
          <w:rFonts w:ascii="David" w:hAnsi="David"/>
          <w:rtl/>
        </w:rPr>
        <w:t>.</w:t>
      </w:r>
      <w:r w:rsidR="00E54CF6">
        <w:rPr>
          <w:rFonts w:ascii="David" w:hAnsi="David" w:hint="cs"/>
          <w:rtl/>
        </w:rPr>
        <w:t>00</w:t>
      </w:r>
      <w:r>
        <w:rPr>
          <w:rFonts w:ascii="David" w:hAnsi="David"/>
          <w:rtl/>
        </w:rPr>
        <w:t>.2022) ועד למועד בו הוצאה מביתו (</w:t>
      </w:r>
      <w:r w:rsidR="00E54CF6">
        <w:rPr>
          <w:rFonts w:ascii="David" w:hAnsi="David" w:hint="cs"/>
          <w:rtl/>
        </w:rPr>
        <w:t>00</w:t>
      </w:r>
      <w:r>
        <w:rPr>
          <w:rFonts w:ascii="David" w:hAnsi="David"/>
          <w:rtl/>
        </w:rPr>
        <w:t>.</w:t>
      </w:r>
      <w:r w:rsidR="00E54CF6">
        <w:rPr>
          <w:rFonts w:ascii="David" w:hAnsi="David" w:hint="cs"/>
          <w:rtl/>
        </w:rPr>
        <w:t>00</w:t>
      </w:r>
      <w:r>
        <w:rPr>
          <w:rFonts w:ascii="David" w:hAnsi="David"/>
          <w:rtl/>
        </w:rPr>
        <w:t>.2023).</w:t>
      </w:r>
    </w:p>
    <w:p w:rsidR="002901E2" w:rsidRDefault="002901E2" w:rsidP="002901E2">
      <w:pPr>
        <w:spacing w:line="360" w:lineRule="auto"/>
        <w:jc w:val="both"/>
        <w:rPr>
          <w:rFonts w:ascii="David" w:hAnsi="David"/>
          <w:rtl/>
        </w:rPr>
      </w:pPr>
    </w:p>
    <w:p w:rsidR="002901E2" w:rsidRDefault="002901E2" w:rsidP="002901E2">
      <w:pPr>
        <w:spacing w:line="360" w:lineRule="auto"/>
        <w:jc w:val="both"/>
        <w:rPr>
          <w:rFonts w:ascii="David" w:hAnsi="David"/>
          <w:b/>
          <w:bCs/>
          <w:u w:val="single"/>
          <w:rtl/>
        </w:rPr>
      </w:pPr>
      <w:r>
        <w:rPr>
          <w:rFonts w:ascii="David" w:hAnsi="David"/>
          <w:b/>
          <w:bCs/>
          <w:u w:val="single"/>
          <w:rtl/>
        </w:rPr>
        <w:t>רקע עובדתי רלוונטי</w:t>
      </w:r>
    </w:p>
    <w:p w:rsidR="002901E2" w:rsidRDefault="002901E2" w:rsidP="002901E2">
      <w:pPr>
        <w:spacing w:line="360" w:lineRule="auto"/>
        <w:jc w:val="both"/>
        <w:rPr>
          <w:rFonts w:ascii="David" w:hAnsi="David"/>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האם והאב (להלן: "</w:t>
      </w:r>
      <w:r>
        <w:rPr>
          <w:rFonts w:ascii="David" w:hAnsi="David" w:cs="David"/>
          <w:b/>
          <w:bCs/>
          <w:sz w:val="24"/>
          <w:szCs w:val="24"/>
          <w:rtl/>
        </w:rPr>
        <w:t>הצדדים</w:t>
      </w:r>
      <w:r>
        <w:rPr>
          <w:rFonts w:ascii="David" w:hAnsi="David" w:cs="David"/>
          <w:sz w:val="24"/>
          <w:szCs w:val="24"/>
          <w:rtl/>
        </w:rPr>
        <w:t>") התגרשו זמ"ז בשנת 2017.</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לצדדים 7 ילדים, מתוכם 4 קטינים ו-3 בגירים. </w:t>
      </w:r>
    </w:p>
    <w:p w:rsidR="002901E2" w:rsidRDefault="002901E2" w:rsidP="002901E2">
      <w:pPr>
        <w:pStyle w:val="a9"/>
        <w:spacing w:after="0" w:line="360" w:lineRule="auto"/>
        <w:rPr>
          <w:rFonts w:ascii="David" w:hAnsi="David" w:cs="David"/>
          <w:sz w:val="24"/>
          <w:szCs w:val="24"/>
        </w:rPr>
      </w:pPr>
    </w:p>
    <w:p w:rsidR="002901E2" w:rsidRDefault="00A949BE" w:rsidP="00FE4326">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א'</w:t>
      </w:r>
      <w:r w:rsidR="002901E2">
        <w:rPr>
          <w:rFonts w:ascii="David" w:hAnsi="David" w:cs="David"/>
          <w:sz w:val="24"/>
          <w:szCs w:val="24"/>
          <w:rtl/>
        </w:rPr>
        <w:t xml:space="preserve"> סובלת </w:t>
      </w:r>
      <w:r w:rsidR="00FE4326">
        <w:rPr>
          <w:rFonts w:ascii="David" w:hAnsi="David" w:cs="David" w:hint="cs"/>
          <w:sz w:val="24"/>
          <w:szCs w:val="24"/>
          <w:rtl/>
        </w:rPr>
        <w:t xml:space="preserve">מ... </w:t>
      </w:r>
      <w:r w:rsidR="002901E2">
        <w:rPr>
          <w:rFonts w:ascii="David" w:hAnsi="David" w:cs="David"/>
          <w:sz w:val="24"/>
          <w:szCs w:val="24"/>
          <w:rtl/>
        </w:rPr>
        <w:t xml:space="preserve"> ובעיות רפואיות נוספות.</w:t>
      </w:r>
    </w:p>
    <w:p w:rsidR="002901E2" w:rsidRDefault="002901E2" w:rsidP="002901E2">
      <w:pPr>
        <w:pStyle w:val="a9"/>
        <w:spacing w:after="0" w:line="360" w:lineRule="auto"/>
        <w:rPr>
          <w:rFonts w:ascii="David" w:hAnsi="David" w:cs="David"/>
          <w:sz w:val="24"/>
          <w:szCs w:val="24"/>
        </w:rPr>
      </w:pPr>
    </w:p>
    <w:p w:rsidR="002901E2" w:rsidRDefault="00A949BE" w:rsidP="00322C74">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א'</w:t>
      </w:r>
      <w:r w:rsidR="002901E2">
        <w:rPr>
          <w:rFonts w:ascii="David" w:hAnsi="David" w:cs="David"/>
          <w:sz w:val="24"/>
          <w:szCs w:val="24"/>
          <w:rtl/>
        </w:rPr>
        <w:t xml:space="preserve"> התגוררה בבית האב ועם הגיעה לגיל הבגרות, לנוכח מצבה הבריאותי והקוגניטיבי, הגיש האב במסגרת א"פ </w:t>
      </w:r>
      <w:r w:rsidR="00322C74">
        <w:rPr>
          <w:rFonts w:ascii="David" w:hAnsi="David" w:cs="David" w:hint="cs"/>
          <w:sz w:val="24"/>
          <w:szCs w:val="24"/>
          <w:rtl/>
        </w:rPr>
        <w:t xml:space="preserve">*** </w:t>
      </w:r>
      <w:r w:rsidR="002901E2">
        <w:rPr>
          <w:rFonts w:ascii="David" w:hAnsi="David" w:cs="David"/>
          <w:sz w:val="24"/>
          <w:szCs w:val="24"/>
          <w:rtl/>
        </w:rPr>
        <w:t xml:space="preserve">בקשה להתמנות כאפוטרופוס קבוע לכל ענייניה של </w:t>
      </w:r>
      <w:r>
        <w:rPr>
          <w:rFonts w:ascii="David" w:hAnsi="David" w:cs="David"/>
          <w:sz w:val="24"/>
          <w:szCs w:val="24"/>
          <w:rtl/>
        </w:rPr>
        <w:t>א'</w:t>
      </w:r>
      <w:r w:rsidR="002901E2">
        <w:rPr>
          <w:rFonts w:ascii="David" w:hAnsi="David" w:cs="David"/>
          <w:sz w:val="24"/>
          <w:szCs w:val="24"/>
          <w:rtl/>
        </w:rPr>
        <w:t xml:space="preserve">. במסגרת הליך </w:t>
      </w:r>
      <w:r w:rsidR="002901E2">
        <w:rPr>
          <w:rFonts w:ascii="David" w:hAnsi="David" w:cs="David"/>
          <w:sz w:val="24"/>
          <w:szCs w:val="24"/>
          <w:rtl/>
        </w:rPr>
        <w:lastRenderedPageBreak/>
        <w:t>זה, בהחלטה מיום 22.2.2023, התקבלה בקשת ב"כ היועמ"ש לפי סעיף 68 לחוק הכשרות המשפטית והאפוטרופסות, התשכ"ב–1962 (להלן: "</w:t>
      </w:r>
      <w:r w:rsidR="002901E2">
        <w:rPr>
          <w:rFonts w:ascii="David" w:hAnsi="David" w:cs="David"/>
          <w:b/>
          <w:bCs/>
          <w:sz w:val="24"/>
          <w:szCs w:val="24"/>
          <w:rtl/>
        </w:rPr>
        <w:t>החוק</w:t>
      </w:r>
      <w:r w:rsidR="002901E2">
        <w:rPr>
          <w:rFonts w:ascii="David" w:hAnsi="David" w:cs="David"/>
          <w:sz w:val="24"/>
          <w:szCs w:val="24"/>
          <w:rtl/>
        </w:rPr>
        <w:t xml:space="preserve">") להעברת </w:t>
      </w:r>
      <w:r>
        <w:rPr>
          <w:rFonts w:ascii="David" w:hAnsi="David" w:cs="David"/>
          <w:sz w:val="24"/>
          <w:szCs w:val="24"/>
          <w:rtl/>
        </w:rPr>
        <w:t>א'</w:t>
      </w:r>
      <w:r w:rsidR="002901E2">
        <w:rPr>
          <w:rFonts w:ascii="David" w:hAnsi="David" w:cs="David"/>
          <w:sz w:val="24"/>
          <w:szCs w:val="24"/>
          <w:rtl/>
        </w:rPr>
        <w:t xml:space="preserve"> למגורים בבית האם ונקבע, בין היתר, כי היא תהיה במשמורתה עד להכרעה אחרת.</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בדיון שהתקיים ביום 19.3.23 הושגה הסכמה שלפיה האם תשמש כאפוטרופסית זמנית לכלל ענייניה של </w:t>
      </w:r>
      <w:r w:rsidR="00A949BE">
        <w:rPr>
          <w:rFonts w:ascii="David" w:hAnsi="David" w:cs="David"/>
          <w:sz w:val="24"/>
          <w:szCs w:val="24"/>
          <w:rtl/>
        </w:rPr>
        <w:t>א'</w:t>
      </w:r>
      <w:r>
        <w:rPr>
          <w:rFonts w:ascii="David" w:hAnsi="David" w:cs="David"/>
          <w:sz w:val="24"/>
          <w:szCs w:val="24"/>
          <w:rtl/>
        </w:rPr>
        <w:t xml:space="preserve"> למשך 4 חודשים. בהחלטה מיום 20.8.23 הוארכה אפוטרופסות זמנית זו עד להחלטה אחרת.</w:t>
      </w:r>
    </w:p>
    <w:p w:rsidR="002901E2" w:rsidRDefault="002901E2" w:rsidP="002901E2">
      <w:pPr>
        <w:spacing w:line="360" w:lineRule="auto"/>
        <w:jc w:val="center"/>
        <w:rPr>
          <w:rFonts w:ascii="David" w:hAnsi="David"/>
          <w:b/>
          <w:bCs/>
          <w:u w:val="single"/>
          <w:rtl/>
        </w:rPr>
      </w:pPr>
    </w:p>
    <w:p w:rsidR="002901E2" w:rsidRPr="00DA62CF" w:rsidRDefault="002901E2" w:rsidP="002901E2">
      <w:pPr>
        <w:spacing w:line="360" w:lineRule="auto"/>
        <w:jc w:val="center"/>
        <w:rPr>
          <w:rFonts w:ascii="David" w:hAnsi="David"/>
          <w:b/>
          <w:bCs/>
          <w:sz w:val="28"/>
          <w:szCs w:val="28"/>
          <w:rtl/>
        </w:rPr>
      </w:pPr>
      <w:r w:rsidRPr="00DA62CF">
        <w:rPr>
          <w:rFonts w:ascii="David" w:hAnsi="David"/>
          <w:b/>
          <w:bCs/>
          <w:sz w:val="28"/>
          <w:szCs w:val="28"/>
          <w:u w:val="single"/>
          <w:rtl/>
        </w:rPr>
        <w:t>א"פ 43054-04-23</w:t>
      </w:r>
    </w:p>
    <w:p w:rsidR="002901E2" w:rsidRDefault="002901E2" w:rsidP="002901E2">
      <w:pPr>
        <w:spacing w:line="360" w:lineRule="auto"/>
        <w:jc w:val="both"/>
        <w:rPr>
          <w:rFonts w:ascii="David" w:hAnsi="David"/>
          <w:b/>
          <w:bCs/>
          <w:u w:val="single"/>
        </w:rPr>
      </w:pPr>
    </w:p>
    <w:p w:rsidR="002901E2" w:rsidRDefault="002901E2" w:rsidP="002901E2">
      <w:pPr>
        <w:spacing w:line="360" w:lineRule="auto"/>
        <w:jc w:val="both"/>
        <w:rPr>
          <w:rFonts w:ascii="David" w:hAnsi="David"/>
          <w:b/>
          <w:bCs/>
          <w:u w:val="single"/>
          <w:rtl/>
        </w:rPr>
      </w:pPr>
      <w:r>
        <w:rPr>
          <w:rFonts w:ascii="David" w:hAnsi="David"/>
          <w:b/>
          <w:bCs/>
          <w:u w:val="single"/>
          <w:rtl/>
        </w:rPr>
        <w:t>עיקר טענות האם</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נוכח מינויה כאפוטרופסית זמנית, פנתה האם עם צו האפוטרופסות הזמני למל"ל וזאת על מנת להסדיר את העברת קצבת הנכות של </w:t>
      </w:r>
      <w:r w:rsidR="00A949BE">
        <w:rPr>
          <w:rFonts w:ascii="David" w:hAnsi="David" w:cs="David"/>
          <w:sz w:val="24"/>
          <w:szCs w:val="24"/>
          <w:rtl/>
        </w:rPr>
        <w:t>א'</w:t>
      </w:r>
      <w:r>
        <w:rPr>
          <w:rFonts w:ascii="David" w:hAnsi="David" w:cs="David"/>
          <w:sz w:val="24"/>
          <w:szCs w:val="24"/>
          <w:rtl/>
        </w:rPr>
        <w:t xml:space="preserve"> לחשבון אפוטרופסות ייעודי שנפתח עבורה לקליטת קצבת הנכות מהמוסד לביטוח לאומי (להלן: "</w:t>
      </w:r>
      <w:r>
        <w:rPr>
          <w:rFonts w:ascii="David" w:hAnsi="David" w:cs="David"/>
          <w:b/>
          <w:bCs/>
          <w:sz w:val="24"/>
          <w:szCs w:val="24"/>
          <w:rtl/>
        </w:rPr>
        <w:t>החשבון</w:t>
      </w:r>
      <w:r>
        <w:rPr>
          <w:rFonts w:ascii="David" w:hAnsi="David" w:cs="David"/>
          <w:sz w:val="24"/>
          <w:szCs w:val="24"/>
          <w:rtl/>
        </w:rPr>
        <w:t>").</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בשל קשיים ברישום צו האפוטרופסות, נוכח טעויות סופר שנתגלו בו, קצבת חודש מרץ 2023 לא הועברה לחשבון ונמסר לאם מאת המל"ל כי הקצבה עבור חודש מרץ 2023 הועברה לחשבון הבנק של האב שהוא הגורם שקיבל את הקצבה של </w:t>
      </w:r>
      <w:r w:rsidR="00A949BE">
        <w:rPr>
          <w:rFonts w:ascii="David" w:hAnsi="David" w:cs="David"/>
          <w:sz w:val="24"/>
          <w:szCs w:val="24"/>
          <w:rtl/>
        </w:rPr>
        <w:t>א'</w:t>
      </w:r>
      <w:r>
        <w:rPr>
          <w:rFonts w:ascii="David" w:hAnsi="David" w:cs="David"/>
          <w:sz w:val="24"/>
          <w:szCs w:val="24"/>
          <w:rtl/>
        </w:rPr>
        <w:t xml:space="preserve"> עת הייתה קטינה והמשיך לקבל את כספי הקצבה גם לאחר שבגרה.</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הוברר לאם כי בסוף חודש מרץ 2023 שילם המל"ל לחשבון הבנק של האב סך של 4,063 ש"ח בגין קצבת נכות של </w:t>
      </w:r>
      <w:r w:rsidR="00A949BE">
        <w:rPr>
          <w:rFonts w:ascii="David" w:hAnsi="David" w:cs="David"/>
          <w:sz w:val="24"/>
          <w:szCs w:val="24"/>
          <w:rtl/>
        </w:rPr>
        <w:t>א'</w:t>
      </w:r>
      <w:r>
        <w:rPr>
          <w:rFonts w:ascii="David" w:hAnsi="David" w:cs="David"/>
          <w:sz w:val="24"/>
          <w:szCs w:val="24"/>
          <w:rtl/>
        </w:rPr>
        <w:t xml:space="preserve"> וכן סך של 7,872 ₪ בגין שירותים מיוחדים ובסה"כ סך של 11,935 ₪. </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עוד עולה כי על אף שהוגשה בקשה למל"ל ביום 18.4.23 להעביר את תשלומי קצבת הנכות של </w:t>
      </w:r>
      <w:r w:rsidR="00A949BE">
        <w:rPr>
          <w:rFonts w:ascii="David" w:hAnsi="David" w:cs="David"/>
          <w:sz w:val="24"/>
          <w:szCs w:val="24"/>
          <w:rtl/>
        </w:rPr>
        <w:t>א'</w:t>
      </w:r>
      <w:r>
        <w:rPr>
          <w:rFonts w:ascii="David" w:hAnsi="David" w:cs="David"/>
          <w:sz w:val="24"/>
          <w:szCs w:val="24"/>
          <w:rtl/>
        </w:rPr>
        <w:t xml:space="preserve"> לחשבון, הבקשה לא נקלטה במועד טרם תשלום קצבת חודש אפריל, מועד התשלום הוקדם בשל החג, וביום 19.4.23 העביר המל"ל סך נוסף של 11,935 ₪ לחשבון הבנק של האב.</w:t>
      </w:r>
    </w:p>
    <w:p w:rsidR="002901E2" w:rsidRDefault="002901E2" w:rsidP="002901E2">
      <w:pPr>
        <w:pStyle w:val="a9"/>
        <w:spacing w:after="0" w:line="360" w:lineRule="auto"/>
        <w:jc w:val="both"/>
        <w:rPr>
          <w:rFonts w:ascii="David" w:hAnsi="David" w:cs="David"/>
          <w:sz w:val="24"/>
          <w:szCs w:val="24"/>
        </w:rPr>
      </w:pPr>
    </w:p>
    <w:p w:rsidR="002901E2" w:rsidRDefault="00A949BE"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א'</w:t>
      </w:r>
      <w:r w:rsidR="002901E2">
        <w:rPr>
          <w:rFonts w:ascii="David" w:hAnsi="David" w:cs="David"/>
          <w:sz w:val="24"/>
          <w:szCs w:val="24"/>
          <w:rtl/>
        </w:rPr>
        <w:t xml:space="preserve"> לא שהתה עם האב כלל בחודשים מרץ ואפריל 2023 והוסכם כי הוא אינו האפוטרופוס לרכושה. כמו כן, האב אינו מוציא כספים בפועל לצורך טיפול בצרכיה של </w:t>
      </w:r>
      <w:r>
        <w:rPr>
          <w:rFonts w:ascii="David" w:hAnsi="David" w:cs="David"/>
          <w:sz w:val="24"/>
          <w:szCs w:val="24"/>
          <w:rtl/>
        </w:rPr>
        <w:t>א'</w:t>
      </w:r>
      <w:r w:rsidR="002901E2">
        <w:rPr>
          <w:rFonts w:ascii="David" w:hAnsi="David" w:cs="David"/>
          <w:sz w:val="24"/>
          <w:szCs w:val="24"/>
          <w:rtl/>
        </w:rPr>
        <w:t xml:space="preserve"> בתקופה זו.</w:t>
      </w:r>
    </w:p>
    <w:p w:rsidR="00C55806" w:rsidRPr="00C55806" w:rsidRDefault="00C55806" w:rsidP="00C55806">
      <w:pPr>
        <w:pStyle w:val="a9"/>
        <w:rPr>
          <w:rFonts w:ascii="David" w:hAnsi="David" w:cs="David"/>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לפיכך החזקת כספי הקצבה של </w:t>
      </w:r>
      <w:r w:rsidR="00A949BE">
        <w:rPr>
          <w:rFonts w:ascii="David" w:hAnsi="David" w:cs="David"/>
          <w:sz w:val="24"/>
          <w:szCs w:val="24"/>
          <w:rtl/>
        </w:rPr>
        <w:t>א'</w:t>
      </w:r>
      <w:r>
        <w:rPr>
          <w:rFonts w:ascii="David" w:hAnsi="David" w:cs="David"/>
          <w:sz w:val="24"/>
          <w:szCs w:val="24"/>
          <w:rtl/>
        </w:rPr>
        <w:t xml:space="preserve"> לחודשים מרץ ואפריל 2023 אינה כדין והינה בבחינת עשיית עושר ולא במשפט מצד האב.</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 xml:space="preserve">עוד הוברר לאם כי בחודש פברואר 2023 שולם לחשבונו של האב סך זהה בגין קצבת נכות ושר"ם על אף שמחצית חודש פברואר 2023 </w:t>
      </w:r>
      <w:r w:rsidR="00A949BE">
        <w:rPr>
          <w:rFonts w:ascii="David" w:hAnsi="David" w:cs="David"/>
          <w:sz w:val="24"/>
          <w:szCs w:val="24"/>
          <w:rtl/>
        </w:rPr>
        <w:t>א'</w:t>
      </w:r>
      <w:r>
        <w:rPr>
          <w:rFonts w:ascii="David" w:hAnsi="David" w:cs="David"/>
          <w:sz w:val="24"/>
          <w:szCs w:val="24"/>
          <w:rtl/>
        </w:rPr>
        <w:t xml:space="preserve"> כלל לא שהתה עמו, אלא התגוררה בבית האם אשר נדרשה לממן את מלוא צרכיה בתקופה זו. לפיכך, יש להורות על העברת מחצית הכספים שהועברו לאב בגין חודש פברואר 2023. </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השבת הכספים הינה בהולה ביותר, הן לנוכח הצורך במימון הצרכים השוטפים של </w:t>
      </w:r>
      <w:r w:rsidR="00A949BE">
        <w:rPr>
          <w:rFonts w:ascii="David" w:hAnsi="David" w:cs="David"/>
          <w:sz w:val="24"/>
          <w:szCs w:val="24"/>
          <w:rtl/>
        </w:rPr>
        <w:t>א'</w:t>
      </w:r>
      <w:r>
        <w:rPr>
          <w:rFonts w:ascii="David" w:hAnsi="David" w:cs="David"/>
          <w:sz w:val="24"/>
          <w:szCs w:val="24"/>
          <w:rtl/>
        </w:rPr>
        <w:t xml:space="preserve"> והן מאחר שמאז שהאם מונתה כאפוטרופסית זמנית, גילתה האם כי ל</w:t>
      </w:r>
      <w:r w:rsidR="00A949BE">
        <w:rPr>
          <w:rFonts w:ascii="David" w:hAnsi="David" w:cs="David"/>
          <w:sz w:val="24"/>
          <w:szCs w:val="24"/>
          <w:rtl/>
        </w:rPr>
        <w:t>א'</w:t>
      </w:r>
      <w:r>
        <w:rPr>
          <w:rFonts w:ascii="David" w:hAnsi="David" w:cs="David"/>
          <w:sz w:val="24"/>
          <w:szCs w:val="24"/>
          <w:rtl/>
        </w:rPr>
        <w:t xml:space="preserve"> חובות שונים, כגון חוב למסגרת החינוכית. כמו כן, ל</w:t>
      </w:r>
      <w:r w:rsidR="00A949BE">
        <w:rPr>
          <w:rFonts w:ascii="David" w:hAnsi="David" w:cs="David"/>
          <w:sz w:val="24"/>
          <w:szCs w:val="24"/>
          <w:rtl/>
        </w:rPr>
        <w:t>א'</w:t>
      </w:r>
      <w:r>
        <w:rPr>
          <w:rFonts w:ascii="David" w:hAnsi="David" w:cs="David"/>
          <w:sz w:val="24"/>
          <w:szCs w:val="24"/>
          <w:rtl/>
        </w:rPr>
        <w:t xml:space="preserve"> צרכים רפואיים שונים אשר דורשים מימון מקיף וזאת לצד מימון הצרכים השוטפים. </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spacing w:line="360" w:lineRule="auto"/>
        <w:jc w:val="both"/>
        <w:rPr>
          <w:rFonts w:ascii="David" w:hAnsi="David"/>
          <w:b/>
          <w:bCs/>
          <w:u w:val="single"/>
          <w:rtl/>
        </w:rPr>
      </w:pPr>
      <w:r>
        <w:rPr>
          <w:rFonts w:ascii="David" w:hAnsi="David"/>
          <w:b/>
          <w:bCs/>
          <w:u w:val="single"/>
          <w:rtl/>
        </w:rPr>
        <w:t>עיקר טענות האב</w:t>
      </w:r>
    </w:p>
    <w:p w:rsidR="002901E2" w:rsidRDefault="002901E2" w:rsidP="002901E2">
      <w:pPr>
        <w:spacing w:line="360" w:lineRule="auto"/>
        <w:jc w:val="both"/>
        <w:rPr>
          <w:rFonts w:ascii="David" w:hAnsi="David"/>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דין התביעה להידחות על הסף בהיותה קנטרנית ומשום שהיא נועדה לשמש כחרב וחנית במסגרת מאבק של האם באב ובילדי הצדדים. האינטרסים של </w:t>
      </w:r>
      <w:r w:rsidR="00A949BE">
        <w:rPr>
          <w:rFonts w:ascii="David" w:hAnsi="David" w:cs="David"/>
          <w:sz w:val="24"/>
          <w:szCs w:val="24"/>
          <w:rtl/>
        </w:rPr>
        <w:t>א'</w:t>
      </w:r>
      <w:r>
        <w:rPr>
          <w:rFonts w:ascii="David" w:hAnsi="David" w:cs="David"/>
          <w:sz w:val="24"/>
          <w:szCs w:val="24"/>
          <w:rtl/>
        </w:rPr>
        <w:t xml:space="preserve"> אינם עומדים בפני האם, אלא רצונה להתיש את האב בהליכים משפטיים. האם שתקה על אף ידיעתה בעניין תשלומי הקצבאות, מה שמהווה חוסר תום לב.</w:t>
      </w:r>
    </w:p>
    <w:p w:rsidR="002901E2" w:rsidRDefault="002901E2" w:rsidP="002901E2">
      <w:pPr>
        <w:pStyle w:val="a9"/>
        <w:spacing w:after="0" w:line="360" w:lineRule="auto"/>
        <w:jc w:val="both"/>
        <w:rPr>
          <w:rFonts w:ascii="David" w:hAnsi="David" w:cs="David"/>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דין התביעה להידחות על הסף מחמת העדר יריבות ועילה. התובעת בנסיבות העניין צריכה להיות </w:t>
      </w:r>
      <w:r w:rsidR="00A949BE">
        <w:rPr>
          <w:rFonts w:ascii="David" w:hAnsi="David" w:cs="David"/>
          <w:sz w:val="24"/>
          <w:szCs w:val="24"/>
          <w:rtl/>
        </w:rPr>
        <w:t>א'</w:t>
      </w:r>
      <w:r>
        <w:rPr>
          <w:rFonts w:ascii="David" w:hAnsi="David" w:cs="David"/>
          <w:sz w:val="24"/>
          <w:szCs w:val="24"/>
          <w:rtl/>
        </w:rPr>
        <w:t>, באמצעות האם ולא האם עצמה.</w:t>
      </w:r>
    </w:p>
    <w:p w:rsidR="002901E2" w:rsidRPr="00DA62CF" w:rsidRDefault="002901E2" w:rsidP="002901E2">
      <w:pPr>
        <w:pStyle w:val="a9"/>
        <w:rPr>
          <w:rFonts w:ascii="David" w:hAnsi="David" w:cs="David"/>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יש לדחות את התביעה על הסף אף אם היא הייתה מוגשת כדבעי כאשר </w:t>
      </w:r>
      <w:r w:rsidR="00A949BE">
        <w:rPr>
          <w:rFonts w:ascii="David" w:hAnsi="David" w:cs="David"/>
          <w:sz w:val="24"/>
          <w:szCs w:val="24"/>
          <w:rtl/>
        </w:rPr>
        <w:t>א'</w:t>
      </w:r>
      <w:r>
        <w:rPr>
          <w:rFonts w:ascii="David" w:hAnsi="David" w:cs="David"/>
          <w:sz w:val="24"/>
          <w:szCs w:val="24"/>
          <w:rtl/>
        </w:rPr>
        <w:t xml:space="preserve"> היא התובעת, שהרי האם משמשת רק כאפוטרופסית זמנית ולא קבועה. </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אף אם תוארך האפוטרופסות באופן זמני, עדיין אין כל מקום לנהל תביעה, קל וחומר שאין כל נחיצות בניהול התביעה עתה. ברי כי הוצאות השוטפות של </w:t>
      </w:r>
      <w:r w:rsidR="00A949BE">
        <w:rPr>
          <w:rFonts w:ascii="David" w:hAnsi="David" w:cs="David"/>
          <w:sz w:val="24"/>
          <w:szCs w:val="24"/>
          <w:rtl/>
        </w:rPr>
        <w:t>א'</w:t>
      </w:r>
      <w:r>
        <w:rPr>
          <w:rFonts w:ascii="David" w:hAnsi="David" w:cs="David"/>
          <w:sz w:val="24"/>
          <w:szCs w:val="24"/>
          <w:rtl/>
        </w:rPr>
        <w:t xml:space="preserve"> מכוסות על-ידי קצבת המל"ל, מה שמאיין את טענת הנחיצות.</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אין לאם, גם בכובעה כאפוטרופסית כל מעמד לדרוש כספים אלה.</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ככל שביהמ"ש יסבור כי האם יכולה לתבוע כתובעת, ברי כי יש לקזז סכומים ממזונות הילדים אותם חייבת האם לאב על-פי פסק דין שניתן בתלה"מ 27412-11-17 והאב שומר לעצמו את הזכות להעלות את הסכומים המדויקים של המזונות אותם חייבת האם לאב.</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האם אינה משלמת מזונות ילדים ותשלומים שוטפים, ולא את חלקה בהוצאות, חרף פסק הדין שניתן בעניין זה.</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האם לא פירטה על בסיס איזו עילה התביעה הוגשה, אלא הסתמכה על אמירות כלליות בדבר העברת קצבאות.</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האב טיפל ב</w:t>
      </w:r>
      <w:r w:rsidR="00A949BE">
        <w:rPr>
          <w:rFonts w:ascii="David" w:hAnsi="David" w:cs="David"/>
          <w:sz w:val="24"/>
          <w:szCs w:val="24"/>
          <w:rtl/>
        </w:rPr>
        <w:t>א'</w:t>
      </w:r>
      <w:r>
        <w:rPr>
          <w:rFonts w:ascii="David" w:hAnsi="David" w:cs="David"/>
          <w:sz w:val="24"/>
          <w:szCs w:val="24"/>
          <w:rtl/>
        </w:rPr>
        <w:t xml:space="preserve"> עד להעברתה, שעה שהיא כבר הייתה בגירה.</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האם מעולם לא נשאה בהוצאותיה של </w:t>
      </w:r>
      <w:r w:rsidR="00A949BE">
        <w:rPr>
          <w:rFonts w:ascii="David" w:hAnsi="David" w:cs="David"/>
          <w:sz w:val="24"/>
          <w:szCs w:val="24"/>
          <w:rtl/>
        </w:rPr>
        <w:t>א'</w:t>
      </w:r>
      <w:r>
        <w:rPr>
          <w:rFonts w:ascii="David" w:hAnsi="David" w:cs="David"/>
          <w:sz w:val="24"/>
          <w:szCs w:val="24"/>
          <w:rtl/>
        </w:rPr>
        <w:t xml:space="preserve">, לא בהיותה קטינה ולא בהיותה בגירה. </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קצבת הנכות אינה נקבעת לפי הוצאות חודשיות, אלא הוצאות כלליות.</w:t>
      </w:r>
    </w:p>
    <w:p w:rsidR="002901E2" w:rsidRDefault="002901E2" w:rsidP="002901E2">
      <w:pPr>
        <w:pStyle w:val="a9"/>
        <w:spacing w:after="0" w:line="360" w:lineRule="auto"/>
        <w:rPr>
          <w:rFonts w:ascii="David" w:hAnsi="David" w:cs="David"/>
          <w:sz w:val="24"/>
          <w:szCs w:val="24"/>
        </w:rPr>
      </w:pPr>
    </w:p>
    <w:p w:rsidR="002901E2" w:rsidRDefault="002901E2" w:rsidP="002901E2">
      <w:pPr>
        <w:spacing w:line="360" w:lineRule="auto"/>
        <w:jc w:val="both"/>
        <w:rPr>
          <w:rFonts w:ascii="David" w:hAnsi="David"/>
          <w:b/>
          <w:bCs/>
          <w:u w:val="single"/>
          <w:rtl/>
        </w:rPr>
      </w:pPr>
      <w:r>
        <w:rPr>
          <w:rFonts w:ascii="David" w:hAnsi="David"/>
          <w:b/>
          <w:bCs/>
          <w:u w:val="single"/>
          <w:rtl/>
        </w:rPr>
        <w:t>עמדת ב"כ היועמ"ש</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מאחר ש</w:t>
      </w:r>
      <w:r w:rsidR="00A949BE">
        <w:rPr>
          <w:rFonts w:ascii="David" w:hAnsi="David" w:cs="David"/>
          <w:sz w:val="24"/>
          <w:szCs w:val="24"/>
          <w:rtl/>
        </w:rPr>
        <w:t>א'</w:t>
      </w:r>
      <w:r>
        <w:rPr>
          <w:rFonts w:ascii="David" w:hAnsi="David" w:cs="David"/>
          <w:sz w:val="24"/>
          <w:szCs w:val="24"/>
          <w:rtl/>
        </w:rPr>
        <w:t xml:space="preserve"> שוהה אצל האם, ברי כי הקצבאות המשתלמות עבורה אמורות להגיע אל האם. הואיל והאינטרס של </w:t>
      </w:r>
      <w:r w:rsidR="00A949BE">
        <w:rPr>
          <w:rFonts w:ascii="David" w:hAnsi="David" w:cs="David"/>
          <w:sz w:val="24"/>
          <w:szCs w:val="24"/>
          <w:rtl/>
        </w:rPr>
        <w:t>א'</w:t>
      </w:r>
      <w:r>
        <w:rPr>
          <w:rFonts w:ascii="David" w:hAnsi="David" w:cs="David"/>
          <w:sz w:val="24"/>
          <w:szCs w:val="24"/>
          <w:rtl/>
        </w:rPr>
        <w:t xml:space="preserve"> מיוצג על-ידי האם כאפוטרופסית טבעית ועל-ידי הסיוע המשפטי הודיעה ב"כ היועמ"ש כי לא תתערב בהליך.</w:t>
      </w:r>
    </w:p>
    <w:p w:rsidR="002901E2" w:rsidRDefault="002901E2" w:rsidP="002901E2">
      <w:pPr>
        <w:spacing w:line="360" w:lineRule="auto"/>
        <w:jc w:val="both"/>
        <w:rPr>
          <w:rFonts w:ascii="David" w:hAnsi="David"/>
        </w:rPr>
      </w:pPr>
    </w:p>
    <w:p w:rsidR="002901E2" w:rsidRDefault="002901E2" w:rsidP="002901E2">
      <w:pPr>
        <w:spacing w:line="360" w:lineRule="auto"/>
        <w:jc w:val="both"/>
        <w:rPr>
          <w:rFonts w:ascii="David" w:hAnsi="David"/>
          <w:rtl/>
        </w:rPr>
      </w:pPr>
      <w:r>
        <w:rPr>
          <w:rFonts w:ascii="David" w:hAnsi="David"/>
          <w:b/>
          <w:bCs/>
          <w:u w:val="single"/>
          <w:rtl/>
        </w:rPr>
        <w:t>הערה דיונית</w:t>
      </w:r>
    </w:p>
    <w:p w:rsidR="002901E2" w:rsidRDefault="002901E2" w:rsidP="002901E2">
      <w:pPr>
        <w:spacing w:line="360" w:lineRule="auto"/>
        <w:jc w:val="both"/>
        <w:rPr>
          <w:rFonts w:ascii="David" w:hAnsi="David"/>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במסגרת הודעת האם בהתאם להחלטה מיום 25.7.23 בעניין מחלוקות עובדתיות שבין הצדדים הודיעה האם, בין היתר, כי לאחר הגשת התובענה ביום 13.6.23 עדכן המל"ל את האם שנערכו שינויים בחשבונה של </w:t>
      </w:r>
      <w:r w:rsidR="00A949BE">
        <w:rPr>
          <w:rFonts w:ascii="David" w:hAnsi="David" w:cs="David"/>
          <w:sz w:val="24"/>
          <w:szCs w:val="24"/>
          <w:rtl/>
        </w:rPr>
        <w:t>א'</w:t>
      </w:r>
      <w:r>
        <w:rPr>
          <w:rFonts w:ascii="David" w:hAnsi="David" w:cs="David"/>
          <w:sz w:val="24"/>
          <w:szCs w:val="24"/>
          <w:rtl/>
        </w:rPr>
        <w:t xml:space="preserve"> והמל"ל העביר לחשבון את קצבת הנכות עבור חודש אפריל 2023 כך שהמחלוקת העובדתית מצטמצמת עבור הסכומים ששולמו לאב עבור החודשים פברואר ומרץ 2023.</w:t>
      </w:r>
    </w:p>
    <w:p w:rsidR="002901E2" w:rsidRDefault="002901E2" w:rsidP="002901E2">
      <w:pPr>
        <w:spacing w:line="360" w:lineRule="auto"/>
        <w:jc w:val="both"/>
        <w:rPr>
          <w:rFonts w:ascii="David" w:hAnsi="David"/>
          <w:b/>
          <w:bCs/>
          <w:u w:val="single"/>
          <w:rtl/>
        </w:rPr>
      </w:pPr>
    </w:p>
    <w:p w:rsidR="002901E2" w:rsidRDefault="002901E2" w:rsidP="002901E2">
      <w:pPr>
        <w:spacing w:line="360" w:lineRule="auto"/>
        <w:jc w:val="both"/>
        <w:rPr>
          <w:rFonts w:ascii="David" w:hAnsi="David"/>
          <w:b/>
          <w:bCs/>
          <w:u w:val="single"/>
        </w:rPr>
      </w:pPr>
      <w:r>
        <w:rPr>
          <w:rFonts w:ascii="David" w:hAnsi="David"/>
          <w:b/>
          <w:bCs/>
          <w:u w:val="single"/>
          <w:rtl/>
        </w:rPr>
        <w:t>דיון והכרעה</w:t>
      </w:r>
    </w:p>
    <w:p w:rsidR="002901E2" w:rsidRDefault="002901E2" w:rsidP="002901E2">
      <w:pPr>
        <w:spacing w:line="360" w:lineRule="auto"/>
        <w:jc w:val="both"/>
        <w:rPr>
          <w:rFonts w:ascii="David" w:hAnsi="David"/>
          <w:b/>
          <w:bCs/>
          <w:u w:val="single"/>
          <w:rtl/>
        </w:rPr>
      </w:pPr>
    </w:p>
    <w:p w:rsidR="002901E2" w:rsidRDefault="002901E2" w:rsidP="002901E2">
      <w:pPr>
        <w:spacing w:line="360" w:lineRule="auto"/>
        <w:jc w:val="both"/>
        <w:rPr>
          <w:rFonts w:ascii="David" w:hAnsi="David"/>
          <w:u w:val="single"/>
          <w:rtl/>
        </w:rPr>
      </w:pPr>
      <w:r>
        <w:rPr>
          <w:rFonts w:ascii="David" w:hAnsi="David"/>
          <w:u w:val="single"/>
          <w:rtl/>
        </w:rPr>
        <w:t>דיון בטענות הסף</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בפתח הדיון שהתקיים ביום 6.12.23 (להלן: "</w:t>
      </w:r>
      <w:r>
        <w:rPr>
          <w:rFonts w:ascii="David" w:hAnsi="David" w:cs="David"/>
          <w:b/>
          <w:bCs/>
          <w:sz w:val="24"/>
          <w:szCs w:val="24"/>
          <w:rtl/>
        </w:rPr>
        <w:t>הדיון</w:t>
      </w:r>
      <w:r>
        <w:rPr>
          <w:rFonts w:ascii="David" w:hAnsi="David" w:cs="David"/>
          <w:sz w:val="24"/>
          <w:szCs w:val="24"/>
          <w:rtl/>
        </w:rPr>
        <w:t xml:space="preserve">") טען האב באמצעות ב"כ, בין היתר, כי בית המשפט לא קבע קדם משפט </w:t>
      </w:r>
      <w:r>
        <w:rPr>
          <w:rFonts w:ascii="David" w:hAnsi="David" w:cs="David"/>
          <w:b/>
          <w:bCs/>
          <w:sz w:val="24"/>
          <w:szCs w:val="24"/>
          <w:rtl/>
        </w:rPr>
        <w:t>ראו: פרוט' עמ' 2 ש' 2-3</w:t>
      </w:r>
      <w:r>
        <w:rPr>
          <w:rFonts w:ascii="David" w:hAnsi="David" w:cs="David"/>
          <w:sz w:val="24"/>
          <w:szCs w:val="24"/>
          <w:rtl/>
        </w:rPr>
        <w:t xml:space="preserve"> והאב הופתע מכך שכן לשיטתו יש טענות סף ברורות ויש לברר טענות אלה לפני דיון ההוכחות </w:t>
      </w:r>
      <w:r>
        <w:rPr>
          <w:rFonts w:ascii="David" w:hAnsi="David" w:cs="David"/>
          <w:b/>
          <w:bCs/>
          <w:sz w:val="24"/>
          <w:szCs w:val="24"/>
          <w:rtl/>
        </w:rPr>
        <w:t>ראו: פרוט' עמ' 2 ש' 7-8</w:t>
      </w:r>
      <w:r>
        <w:rPr>
          <w:rFonts w:ascii="David" w:hAnsi="David" w:cs="David"/>
          <w:sz w:val="24"/>
          <w:szCs w:val="24"/>
          <w:rtl/>
        </w:rPr>
        <w:t>.</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lastRenderedPageBreak/>
        <w:t xml:space="preserve">האב, באמצעות ב"כ, הוסיף כי טענות הסף שהעלה בכתבי הגנה עומדות בעינן ו"אין שום ויתור על טענות אלה" </w:t>
      </w:r>
      <w:r>
        <w:rPr>
          <w:rFonts w:ascii="David" w:hAnsi="David" w:cs="David"/>
          <w:b/>
          <w:bCs/>
          <w:sz w:val="24"/>
          <w:szCs w:val="24"/>
          <w:rtl/>
        </w:rPr>
        <w:t>ראו: פרוט' עמ' 2 ש' 10-11</w:t>
      </w:r>
      <w:r>
        <w:rPr>
          <w:rFonts w:ascii="David" w:hAnsi="David" w:cs="David"/>
          <w:sz w:val="24"/>
          <w:szCs w:val="24"/>
          <w:rtl/>
        </w:rPr>
        <w:t>.</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טענה זו של האב לא ניתן לקבל.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לאחר הגשת כתב ההגנה מטעם האב, הציע בית המשפט בהחלטה מיום 17.7.23 להכריע בהליך זה על יסוד כתבי הטענות. האב התנגד לאפשרות זו במסגרת "התנגדות עניינית" שהוגשה מטעמו ביום 25.7.23 והוא עתר במסגרתה "לקבוע מועד להוכחות" ו"להורות לצדדים לסכם את טענותיהם". בתוך כך, לא ברורה טענת האב כי בית המשפט לא קבע קדם משפט וכי האב הופתע מכך, כאשר הוא עצמו ביקש לדלג על שלב זה.</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לאחר שהאם לא התנגדה לקיום הליך ההוכחות ללא קיום קדם משפט, בהחלטה מיום 25.7.23 נקבע כי עד ליום 3.8.23 יגיש כל צד הודעה ויפרט בה את כל המחלוקות העובדתיות בהליך זה תוך הפנייה לסעיפים הרלוונטיים בכתבי הטענות.</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האב הגיש הודעה זו במועד, פירט את המחלוקות העובדתיות הקיימות לשיטתו בתיק זה והפנה לסעיפים הרלוונטיים מבחינתו בכתבי הטענות. יחד עם זאת, לא ביקש במסגרת ההודעה כי תוכרע בקשה כלשהי ולא טען טענות סף.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לאחר הגשת הודעת האב, ניתנה החלטה נוספת מיום 5.8.23 בה התאפשר לצדדים להגיש הודעה בעניין עדים חיצוניים וגם הזדמנות זו לא נוצלה על-ידי האב כדי להודיע כי בפיו טענות סף, בהן הוא מבקש להכריע לפני דיון ההוכחות ובכלל וכתוצאה מכך, לא נקבע אופן דיון בבקשות בהליך </w:t>
      </w:r>
      <w:r>
        <w:rPr>
          <w:rFonts w:ascii="David" w:hAnsi="David" w:cs="David"/>
          <w:b/>
          <w:bCs/>
          <w:sz w:val="24"/>
          <w:szCs w:val="24"/>
          <w:rtl/>
        </w:rPr>
        <w:t>ראו</w:t>
      </w:r>
      <w:r>
        <w:rPr>
          <w:rFonts w:ascii="David" w:hAnsi="David" w:cs="David"/>
          <w:sz w:val="24"/>
          <w:szCs w:val="24"/>
          <w:rtl/>
        </w:rPr>
        <w:t>: תקנה 22 לתקנות בית המשפט לענייני משפחה (סדרי דין), התשפ"א–2020 (להלן: "</w:t>
      </w:r>
      <w:r>
        <w:rPr>
          <w:rFonts w:ascii="David" w:hAnsi="David" w:cs="David"/>
          <w:b/>
          <w:bCs/>
          <w:sz w:val="24"/>
          <w:szCs w:val="24"/>
          <w:rtl/>
        </w:rPr>
        <w:t>תקנות המשפחה</w:t>
      </w:r>
      <w:r>
        <w:rPr>
          <w:rFonts w:ascii="David" w:hAnsi="David" w:cs="David"/>
          <w:sz w:val="24"/>
          <w:szCs w:val="24"/>
          <w:rtl/>
        </w:rPr>
        <w:t xml:space="preserve">").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זאת ועוד, האב לא הגיש כל בקשה יזומה לבירור בקשותיו. תקנה 49 (א) לתקנות סדר הדין האזרחי, התשע"ט–2018 (להלן: "</w:t>
      </w:r>
      <w:r>
        <w:rPr>
          <w:rFonts w:ascii="David" w:hAnsi="David" w:cs="David"/>
          <w:b/>
          <w:bCs/>
          <w:sz w:val="24"/>
          <w:szCs w:val="24"/>
          <w:rtl/>
        </w:rPr>
        <w:t>התקנות</w:t>
      </w:r>
      <w:r>
        <w:rPr>
          <w:rFonts w:ascii="David" w:hAnsi="David" w:cs="David"/>
          <w:sz w:val="24"/>
          <w:szCs w:val="24"/>
          <w:rtl/>
        </w:rPr>
        <w:t xml:space="preserve">") קובעת כי </w:t>
      </w:r>
      <w:r>
        <w:rPr>
          <w:rFonts w:ascii="David" w:eastAsia="Times New Roman" w:hAnsi="David" w:cs="David"/>
          <w:sz w:val="24"/>
          <w:szCs w:val="24"/>
          <w:rtl/>
        </w:rPr>
        <w:t xml:space="preserve">"לא יוגשו בקשות כלשהן במועד </w:t>
      </w:r>
      <w:r>
        <w:rPr>
          <w:rFonts w:ascii="David" w:eastAsia="Times New Roman" w:hAnsi="David" w:cs="David"/>
          <w:sz w:val="24"/>
          <w:szCs w:val="24"/>
          <w:u w:val="single"/>
          <w:rtl/>
        </w:rPr>
        <w:t>שלאחר</w:t>
      </w:r>
      <w:r>
        <w:rPr>
          <w:rFonts w:ascii="David" w:eastAsia="Times New Roman" w:hAnsi="David" w:cs="David"/>
          <w:sz w:val="24"/>
          <w:szCs w:val="24"/>
          <w:rtl/>
        </w:rPr>
        <w:t xml:space="preserve"> הגשת כתב הטענות האחרון, עד מועד ישיבת קדם-המשפט הראשונה</w:t>
      </w:r>
      <w:r>
        <w:rPr>
          <w:rFonts w:ascii="David" w:hAnsi="David" w:cs="David"/>
          <w:sz w:val="24"/>
          <w:szCs w:val="24"/>
          <w:rtl/>
        </w:rPr>
        <w:t>..." [ההגדשה לא במקור – פ"ג].</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במילים אחרות, לא הייתה כל מניעה להגיש בקשה, הכוללת טענות סף, </w:t>
      </w:r>
      <w:r>
        <w:rPr>
          <w:rFonts w:ascii="David" w:hAnsi="David" w:cs="David"/>
          <w:sz w:val="24"/>
          <w:szCs w:val="24"/>
          <w:u w:val="single"/>
          <w:rtl/>
        </w:rPr>
        <w:t>לפני</w:t>
      </w:r>
      <w:r>
        <w:rPr>
          <w:rFonts w:ascii="David" w:hAnsi="David" w:cs="David"/>
          <w:sz w:val="24"/>
          <w:szCs w:val="24"/>
          <w:rtl/>
        </w:rPr>
        <w:t xml:space="preserve"> הגשת כתב ההגנה של האב שזהו "המועד הטבעי" לבירור טענות סף ולא בתום ההליך, לאחר שנשמעו עדויות וסוכמו טענות. האב לא הגיש כל בקשת סף "במועד הטבעי" וניתן היה לדחות את טענות הסף מטעם זה בלבד ואולם, דין טענות הסף להידחות גם לגופן.</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נטען על-ידי האב כי דין התביעה להידחות מחמת העדר יריבות, מפני שהאם פועלת כתובעת והתובעת בנסיבות העניין צריכה להיות </w:t>
      </w:r>
      <w:r w:rsidR="00A949BE">
        <w:rPr>
          <w:rFonts w:ascii="David" w:hAnsi="David" w:cs="David"/>
          <w:sz w:val="24"/>
          <w:szCs w:val="24"/>
          <w:rtl/>
        </w:rPr>
        <w:t>א'</w:t>
      </w:r>
      <w:r>
        <w:rPr>
          <w:rFonts w:ascii="David" w:hAnsi="David" w:cs="David"/>
          <w:sz w:val="24"/>
          <w:szCs w:val="24"/>
          <w:rtl/>
        </w:rPr>
        <w:t xml:space="preserve"> </w:t>
      </w:r>
      <w:r>
        <w:rPr>
          <w:rFonts w:ascii="David" w:hAnsi="David" w:cs="David"/>
          <w:b/>
          <w:bCs/>
          <w:sz w:val="24"/>
          <w:szCs w:val="24"/>
          <w:rtl/>
        </w:rPr>
        <w:t>ראו: ס' 3 ו-15 לכתב ההגנה, פרוט' עמ' 11 ש' 28-29, ש' 32-34</w:t>
      </w:r>
      <w:r>
        <w:rPr>
          <w:rFonts w:ascii="David" w:hAnsi="David" w:cs="David"/>
          <w:sz w:val="24"/>
          <w:szCs w:val="24"/>
          <w:rtl/>
        </w:rPr>
        <w:t xml:space="preserve">.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דין טענה זו להידחות.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spacing w:after="0" w:line="360" w:lineRule="auto"/>
        <w:ind w:left="566"/>
        <w:jc w:val="both"/>
        <w:rPr>
          <w:rFonts w:ascii="David" w:hAnsi="David" w:cs="David"/>
          <w:sz w:val="24"/>
          <w:szCs w:val="24"/>
          <w:rtl/>
        </w:rPr>
      </w:pPr>
      <w:r>
        <w:rPr>
          <w:rFonts w:ascii="David" w:hAnsi="David" w:cs="David"/>
          <w:sz w:val="24"/>
          <w:szCs w:val="24"/>
          <w:u w:val="single"/>
          <w:rtl/>
        </w:rPr>
        <w:t>ראשית</w:t>
      </w:r>
      <w:r>
        <w:rPr>
          <w:rFonts w:ascii="David" w:hAnsi="David" w:cs="David"/>
          <w:sz w:val="24"/>
          <w:szCs w:val="24"/>
          <w:rtl/>
        </w:rPr>
        <w:t xml:space="preserve">, במישור הפרוצדוראלי לא מצאתי כל הוראת דין בתקנות או בתקנות משפחה המחייבת רישום שמה של </w:t>
      </w:r>
      <w:r w:rsidR="00A949BE">
        <w:rPr>
          <w:rFonts w:ascii="David" w:hAnsi="David" w:cs="David"/>
          <w:sz w:val="24"/>
          <w:szCs w:val="24"/>
          <w:rtl/>
        </w:rPr>
        <w:t>א'</w:t>
      </w:r>
      <w:r>
        <w:rPr>
          <w:rFonts w:ascii="David" w:hAnsi="David" w:cs="David"/>
          <w:sz w:val="24"/>
          <w:szCs w:val="24"/>
          <w:rtl/>
        </w:rPr>
        <w:t xml:space="preserve"> כ"תובעת". </w:t>
      </w:r>
      <w:r>
        <w:rPr>
          <w:rFonts w:ascii="David" w:hAnsi="David" w:cs="David"/>
          <w:b/>
          <w:bCs/>
          <w:sz w:val="24"/>
          <w:szCs w:val="24"/>
          <w:rtl/>
        </w:rPr>
        <w:t>תקנה 11 לתקנות</w:t>
      </w:r>
      <w:r>
        <w:rPr>
          <w:rFonts w:ascii="David" w:hAnsi="David" w:cs="David"/>
          <w:sz w:val="24"/>
          <w:szCs w:val="24"/>
          <w:rtl/>
        </w:rPr>
        <w:t xml:space="preserve"> קובעת אילו נתונים יש לכלול בכותרת לכתב התביעה ואין כל דרישה להגדיר אדם שמונה לו אפוטרופוס (להלן: </w:t>
      </w:r>
      <w:r>
        <w:rPr>
          <w:rFonts w:ascii="David" w:hAnsi="David" w:cs="David"/>
          <w:b/>
          <w:bCs/>
          <w:sz w:val="24"/>
          <w:szCs w:val="24"/>
          <w:rtl/>
        </w:rPr>
        <w:t>"אשל"א</w:t>
      </w:r>
      <w:r>
        <w:rPr>
          <w:rFonts w:ascii="David" w:hAnsi="David" w:cs="David"/>
          <w:sz w:val="24"/>
          <w:szCs w:val="24"/>
          <w:rtl/>
        </w:rPr>
        <w:t>") כתובע. זאת, למשל, בשונה מהדרישה לציין בכתב התביעה "</w:t>
      </w:r>
      <w:r>
        <w:rPr>
          <w:rFonts w:ascii="David" w:eastAsia="Times New Roman" w:hAnsi="David" w:cs="David"/>
          <w:sz w:val="24"/>
          <w:szCs w:val="24"/>
          <w:rtl/>
        </w:rPr>
        <w:t xml:space="preserve">אם מי מבעלי הדין הוא פסול דין או קטין, כמשמעותם בחוק הכשרות המשפטית והאפוטרופסות". הוא הדין בכל הנוגע לתקנות המשפחה </w:t>
      </w:r>
      <w:r>
        <w:rPr>
          <w:rFonts w:ascii="David" w:eastAsia="Times New Roman" w:hAnsi="David" w:cs="David"/>
          <w:b/>
          <w:bCs/>
          <w:sz w:val="24"/>
          <w:szCs w:val="24"/>
          <w:rtl/>
        </w:rPr>
        <w:t xml:space="preserve">ראו: תקנה </w:t>
      </w:r>
      <w:r>
        <w:rPr>
          <w:rFonts w:ascii="David" w:hAnsi="David" w:cs="David"/>
          <w:b/>
          <w:bCs/>
          <w:sz w:val="24"/>
          <w:szCs w:val="24"/>
          <w:rtl/>
        </w:rPr>
        <w:t>11 (ב) (1) לתקנות המשפחה</w:t>
      </w:r>
      <w:r>
        <w:rPr>
          <w:rFonts w:ascii="David" w:hAnsi="David" w:cs="David"/>
          <w:sz w:val="24"/>
          <w:szCs w:val="24"/>
          <w:rtl/>
        </w:rPr>
        <w:t xml:space="preserve"> – בשינויים המחוייבים.</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spacing w:after="0" w:line="360" w:lineRule="auto"/>
        <w:ind w:left="566"/>
        <w:jc w:val="both"/>
        <w:rPr>
          <w:rFonts w:ascii="David" w:hAnsi="David" w:cs="David"/>
          <w:sz w:val="24"/>
          <w:szCs w:val="24"/>
          <w:rtl/>
        </w:rPr>
      </w:pPr>
      <w:r>
        <w:rPr>
          <w:rFonts w:ascii="David" w:hAnsi="David" w:cs="David"/>
          <w:sz w:val="24"/>
          <w:szCs w:val="24"/>
          <w:u w:val="single"/>
          <w:rtl/>
        </w:rPr>
        <w:t>שנית</w:t>
      </w:r>
      <w:r>
        <w:rPr>
          <w:rFonts w:ascii="David" w:hAnsi="David" w:cs="David"/>
          <w:sz w:val="24"/>
          <w:szCs w:val="24"/>
          <w:rtl/>
        </w:rPr>
        <w:t xml:space="preserve">, תפקידו המרכזי של האפוטרופוס הוא לדאוג לאשל"א בעניינים בהם הוא מונה בצו בית המשפט. בתוך כך, האפוטרופוס הממונה נכנס בנעליו של האשל"א </w:t>
      </w:r>
      <w:r>
        <w:rPr>
          <w:rFonts w:ascii="David" w:hAnsi="David" w:cs="David"/>
          <w:b/>
          <w:bCs/>
          <w:sz w:val="24"/>
          <w:szCs w:val="24"/>
          <w:rtl/>
        </w:rPr>
        <w:t>ראו</w:t>
      </w:r>
      <w:r>
        <w:rPr>
          <w:rFonts w:ascii="David" w:hAnsi="David" w:cs="David"/>
          <w:sz w:val="24"/>
          <w:szCs w:val="24"/>
          <w:rtl/>
        </w:rPr>
        <w:t xml:space="preserve">: תמ"ש 68716-01-18 </w:t>
      </w:r>
      <w:r>
        <w:rPr>
          <w:rFonts w:ascii="David" w:hAnsi="David" w:cs="David"/>
          <w:b/>
          <w:bCs/>
          <w:sz w:val="24"/>
          <w:szCs w:val="24"/>
          <w:rtl/>
        </w:rPr>
        <w:t>פלוני (אדם שמונה לו אפוטרופוס) נ' פלונית</w:t>
      </w:r>
      <w:r>
        <w:rPr>
          <w:rFonts w:ascii="David" w:hAnsi="David" w:cs="David"/>
          <w:sz w:val="24"/>
          <w:szCs w:val="24"/>
          <w:rtl/>
        </w:rPr>
        <w:t xml:space="preserve"> (29.6.2020) והוא רשאי – ולעתים אף חייב – להגיש תביעה בשמו </w:t>
      </w:r>
      <w:r>
        <w:rPr>
          <w:rFonts w:ascii="David" w:hAnsi="David" w:cs="David"/>
          <w:b/>
          <w:bCs/>
          <w:sz w:val="24"/>
          <w:szCs w:val="24"/>
          <w:rtl/>
        </w:rPr>
        <w:t>ראו בעניין זה: ס' 47 (א) לחוק</w:t>
      </w:r>
      <w:r>
        <w:rPr>
          <w:rFonts w:ascii="David" w:hAnsi="David" w:cs="David"/>
          <w:sz w:val="24"/>
          <w:szCs w:val="24"/>
          <w:rtl/>
        </w:rPr>
        <w:t xml:space="preserve"> המסמיך אפוטרופוס לעשות כל הדרוש למילוי תפקידיו.</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spacing w:after="0" w:line="360" w:lineRule="auto"/>
        <w:ind w:left="566"/>
        <w:jc w:val="both"/>
        <w:rPr>
          <w:rFonts w:ascii="David" w:hAnsi="David" w:cs="David"/>
          <w:sz w:val="24"/>
          <w:szCs w:val="24"/>
        </w:rPr>
      </w:pPr>
      <w:r>
        <w:rPr>
          <w:rFonts w:ascii="David" w:hAnsi="David" w:cs="David"/>
          <w:sz w:val="24"/>
          <w:szCs w:val="24"/>
          <w:u w:val="single"/>
          <w:rtl/>
        </w:rPr>
        <w:t>שלישית</w:t>
      </w:r>
      <w:r>
        <w:rPr>
          <w:rFonts w:ascii="David" w:hAnsi="David" w:cs="David"/>
          <w:sz w:val="24"/>
          <w:szCs w:val="24"/>
          <w:rtl/>
        </w:rPr>
        <w:t xml:space="preserve">, האם ציינה בכותרת לכתב התביעה כי זו עוסקת "בעניין" </w:t>
      </w:r>
      <w:r w:rsidR="00A949BE">
        <w:rPr>
          <w:rFonts w:ascii="David" w:hAnsi="David" w:cs="David"/>
          <w:sz w:val="24"/>
          <w:szCs w:val="24"/>
          <w:rtl/>
        </w:rPr>
        <w:t>א'</w:t>
      </w:r>
      <w:r>
        <w:rPr>
          <w:rFonts w:ascii="David" w:hAnsi="David" w:cs="David"/>
          <w:sz w:val="24"/>
          <w:szCs w:val="24"/>
          <w:rtl/>
        </w:rPr>
        <w:t xml:space="preserve"> והסעד לו היא עתרה הינו להורות כי הכספים יועברו "ישירות לחשבון האפוטרופסות שנפתח עבור </w:t>
      </w:r>
      <w:r w:rsidR="00A949BE">
        <w:rPr>
          <w:rFonts w:ascii="David" w:hAnsi="David" w:cs="David"/>
          <w:sz w:val="24"/>
          <w:szCs w:val="24"/>
          <w:rtl/>
        </w:rPr>
        <w:t>א'</w:t>
      </w:r>
      <w:r>
        <w:rPr>
          <w:rFonts w:ascii="David" w:hAnsi="David" w:cs="David"/>
          <w:sz w:val="24"/>
          <w:szCs w:val="24"/>
          <w:rtl/>
        </w:rPr>
        <w:t xml:space="preserve">" </w:t>
      </w:r>
      <w:r>
        <w:rPr>
          <w:rFonts w:ascii="David" w:hAnsi="David" w:cs="David"/>
          <w:b/>
          <w:bCs/>
          <w:sz w:val="24"/>
          <w:szCs w:val="24"/>
          <w:rtl/>
        </w:rPr>
        <w:t>ראו: ס' 33 לכתב התביעה</w:t>
      </w:r>
      <w:r>
        <w:rPr>
          <w:rFonts w:ascii="David" w:hAnsi="David" w:cs="David"/>
          <w:sz w:val="24"/>
          <w:szCs w:val="24"/>
          <w:rtl/>
        </w:rPr>
        <w:t xml:space="preserve">, </w:t>
      </w:r>
      <w:r>
        <w:rPr>
          <w:rFonts w:ascii="David" w:hAnsi="David" w:cs="David"/>
          <w:b/>
          <w:bCs/>
          <w:sz w:val="24"/>
          <w:szCs w:val="24"/>
          <w:rtl/>
        </w:rPr>
        <w:t>פרוט' עמ' 2 ש' 28-30, עמ' 3 ש' 26, עמ' 4 ש' 9, ש' 30</w:t>
      </w:r>
      <w:r>
        <w:rPr>
          <w:rFonts w:ascii="David" w:hAnsi="David" w:cs="David"/>
          <w:sz w:val="24"/>
          <w:szCs w:val="24"/>
          <w:rtl/>
        </w:rPr>
        <w:t>.</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לאור האמור, אני דוחה את הטענה כי דין התביעה להידחות על הסף מחמת היעדר יריבות. כפועל יוצא ועל יסוד הנימוקים דלעיל, אני דוחה טענת סף נוספת שלפיה לאם – בכובעה כאפוטרופסית – אין מעמד לדרוש את הכספים מהאב </w:t>
      </w:r>
      <w:r>
        <w:rPr>
          <w:rFonts w:ascii="David" w:hAnsi="David" w:cs="David"/>
          <w:b/>
          <w:bCs/>
          <w:sz w:val="24"/>
          <w:szCs w:val="24"/>
          <w:rtl/>
        </w:rPr>
        <w:t>ראו: ס' 7 לכתב ההגנה, פרוט' עמ' 11 ש' 32-33, עמ' 12 ש'5</w:t>
      </w:r>
      <w:r>
        <w:rPr>
          <w:rFonts w:ascii="David" w:hAnsi="David" w:cs="David"/>
          <w:sz w:val="24"/>
          <w:szCs w:val="24"/>
          <w:rtl/>
        </w:rPr>
        <w:t>.</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נטען על-ידי האב כי יש לדחות את התביעה על הסף מפני שהאם מונתה כאפוטרופסית זמנית ולא קבועה </w:t>
      </w:r>
      <w:r>
        <w:rPr>
          <w:rFonts w:ascii="David" w:hAnsi="David" w:cs="David"/>
          <w:b/>
          <w:bCs/>
          <w:sz w:val="24"/>
          <w:szCs w:val="24"/>
          <w:rtl/>
        </w:rPr>
        <w:t>ראו: ס' 5 ו-15 לכתב ההגנה</w:t>
      </w:r>
      <w:r>
        <w:rPr>
          <w:rFonts w:ascii="David" w:hAnsi="David" w:cs="David"/>
          <w:sz w:val="24"/>
          <w:szCs w:val="24"/>
          <w:rtl/>
        </w:rPr>
        <w:t xml:space="preserve">.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דין הטענה להידחות.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spacing w:after="0" w:line="360" w:lineRule="auto"/>
        <w:ind w:left="566"/>
        <w:jc w:val="both"/>
        <w:rPr>
          <w:rFonts w:ascii="David" w:hAnsi="David" w:cs="David"/>
          <w:sz w:val="24"/>
          <w:szCs w:val="24"/>
          <w:rtl/>
        </w:rPr>
      </w:pPr>
      <w:r>
        <w:rPr>
          <w:rFonts w:ascii="David" w:hAnsi="David" w:cs="David"/>
          <w:sz w:val="24"/>
          <w:szCs w:val="24"/>
          <w:u w:val="single"/>
          <w:rtl/>
        </w:rPr>
        <w:lastRenderedPageBreak/>
        <w:t>ראשית</w:t>
      </w:r>
      <w:r>
        <w:rPr>
          <w:rFonts w:ascii="David" w:hAnsi="David" w:cs="David"/>
          <w:sz w:val="24"/>
          <w:szCs w:val="24"/>
          <w:rtl/>
        </w:rPr>
        <w:t xml:space="preserve">, טענה זו נזנחה על-ידי האב בסיכומים ויש לראות בו כמי שוויתר על טענה זו </w:t>
      </w:r>
      <w:r>
        <w:rPr>
          <w:rFonts w:ascii="David" w:hAnsi="David" w:cs="David"/>
          <w:b/>
          <w:bCs/>
          <w:sz w:val="24"/>
          <w:szCs w:val="24"/>
          <w:rtl/>
        </w:rPr>
        <w:t>ראו</w:t>
      </w:r>
      <w:r>
        <w:rPr>
          <w:rFonts w:ascii="David" w:hAnsi="David" w:cs="David"/>
          <w:sz w:val="24"/>
          <w:szCs w:val="24"/>
          <w:rtl/>
        </w:rPr>
        <w:t xml:space="preserve">: ע"א 447/92 </w:t>
      </w:r>
      <w:r>
        <w:rPr>
          <w:rFonts w:ascii="David" w:hAnsi="David" w:cs="David"/>
          <w:b/>
          <w:bCs/>
          <w:sz w:val="24"/>
          <w:szCs w:val="24"/>
          <w:rtl/>
        </w:rPr>
        <w:t>רוט נ' אינטרקונטיננטל קרדיט קורפריישן,</w:t>
      </w:r>
      <w:r>
        <w:rPr>
          <w:rFonts w:ascii="David" w:hAnsi="David" w:cs="David"/>
          <w:sz w:val="24"/>
          <w:szCs w:val="24"/>
          <w:rtl/>
        </w:rPr>
        <w:t xml:space="preserve"> פ"ד מט(2) 102 (1995); תה"ס 27071-11-19 </w:t>
      </w:r>
      <w:r>
        <w:rPr>
          <w:rFonts w:ascii="David" w:hAnsi="David" w:cs="David"/>
          <w:b/>
          <w:bCs/>
          <w:sz w:val="24"/>
          <w:szCs w:val="24"/>
          <w:rtl/>
        </w:rPr>
        <w:t>פלונית נ' אלמוני</w:t>
      </w:r>
      <w:r>
        <w:rPr>
          <w:rFonts w:ascii="David" w:hAnsi="David" w:cs="David"/>
          <w:sz w:val="24"/>
          <w:szCs w:val="24"/>
          <w:rtl/>
        </w:rPr>
        <w:t xml:space="preserve"> (27.11.2022).</w:t>
      </w:r>
    </w:p>
    <w:p w:rsidR="002901E2" w:rsidRDefault="002901E2" w:rsidP="002901E2">
      <w:pPr>
        <w:pStyle w:val="a9"/>
        <w:spacing w:after="0" w:line="360" w:lineRule="auto"/>
        <w:jc w:val="both"/>
        <w:rPr>
          <w:rFonts w:ascii="David" w:hAnsi="David" w:cs="David"/>
          <w:sz w:val="24"/>
          <w:szCs w:val="24"/>
          <w:rtl/>
        </w:rPr>
      </w:pPr>
    </w:p>
    <w:p w:rsidR="002901E2" w:rsidRDefault="002901E2" w:rsidP="002901E2">
      <w:pPr>
        <w:pStyle w:val="a9"/>
        <w:spacing w:after="0" w:line="360" w:lineRule="auto"/>
        <w:ind w:left="566"/>
        <w:jc w:val="both"/>
        <w:rPr>
          <w:rFonts w:ascii="David" w:hAnsi="David" w:cs="David"/>
          <w:sz w:val="24"/>
          <w:szCs w:val="24"/>
        </w:rPr>
      </w:pPr>
      <w:r>
        <w:rPr>
          <w:rFonts w:ascii="David" w:hAnsi="David" w:cs="David"/>
          <w:sz w:val="24"/>
          <w:szCs w:val="24"/>
          <w:u w:val="single"/>
          <w:rtl/>
        </w:rPr>
        <w:t>שנית</w:t>
      </w:r>
      <w:r>
        <w:rPr>
          <w:rFonts w:ascii="David" w:hAnsi="David" w:cs="David"/>
          <w:sz w:val="24"/>
          <w:szCs w:val="24"/>
          <w:rtl/>
        </w:rPr>
        <w:t>, לא מצאתי כל הוראת דין – והאב גם לא הצביע על הוראה שכזו – המבחינה בין תפקידו של אפוטרופוס זמני לקבוע והמונעת מאפוטרופוס זמני לפעול לטובת האשל"א.</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לאור האמור, אני דוחה את הטענה כי דין התביעה להידחות על הסף מפני שהוגשה על-ידי האם בכובעה כאפוטרופסית זמנית.</w:t>
      </w:r>
    </w:p>
    <w:p w:rsidR="002901E2" w:rsidRDefault="002901E2" w:rsidP="002901E2">
      <w:pPr>
        <w:pStyle w:val="a9"/>
        <w:spacing w:after="0" w:line="360" w:lineRule="auto"/>
        <w:rPr>
          <w:rFonts w:ascii="David" w:hAnsi="David" w:cs="David"/>
          <w:sz w:val="24"/>
          <w:szCs w:val="24"/>
        </w:rPr>
      </w:pPr>
    </w:p>
    <w:p w:rsidR="002901E2" w:rsidRDefault="002901E2" w:rsidP="002901E2">
      <w:pPr>
        <w:spacing w:line="360" w:lineRule="auto"/>
        <w:jc w:val="both"/>
        <w:rPr>
          <w:rFonts w:ascii="David" w:hAnsi="David"/>
          <w:u w:val="single"/>
          <w:rtl/>
        </w:rPr>
      </w:pPr>
      <w:r>
        <w:rPr>
          <w:rFonts w:ascii="David" w:hAnsi="David"/>
          <w:u w:val="single"/>
          <w:rtl/>
        </w:rPr>
        <w:t>דיון בתביעה גופה</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משנדחו טענות הסף של האב, יש לדון בתביעה לגופה.</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לאחר עיון במלוא התשתית העובדתית והראייתית, הגעתי למסקנה כי דין התביעה להתקבל.</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אין מחלוקת עובדתית כי </w:t>
      </w:r>
      <w:r w:rsidR="00A949BE">
        <w:rPr>
          <w:rFonts w:ascii="David" w:hAnsi="David" w:cs="David"/>
          <w:sz w:val="24"/>
          <w:szCs w:val="24"/>
          <w:rtl/>
        </w:rPr>
        <w:t>א'</w:t>
      </w:r>
      <w:r>
        <w:rPr>
          <w:rFonts w:ascii="David" w:hAnsi="David" w:cs="David"/>
          <w:sz w:val="24"/>
          <w:szCs w:val="24"/>
          <w:rtl/>
        </w:rPr>
        <w:t xml:space="preserve"> שוהה בבית האם מיום 15.2.23 </w:t>
      </w:r>
      <w:r>
        <w:rPr>
          <w:rFonts w:ascii="David" w:hAnsi="David" w:cs="David"/>
          <w:b/>
          <w:bCs/>
          <w:sz w:val="24"/>
          <w:szCs w:val="24"/>
          <w:rtl/>
        </w:rPr>
        <w:t>ראו: ס' 2 לכתב התביעה, ס' 22 לכתב ההגנה</w:t>
      </w:r>
      <w:r>
        <w:rPr>
          <w:rFonts w:ascii="David" w:hAnsi="David" w:cs="David"/>
          <w:sz w:val="24"/>
          <w:szCs w:val="24"/>
          <w:rtl/>
        </w:rPr>
        <w:t>.</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אין מחלוקת עובדתית כי כל הקצבאות ששולמו בגין </w:t>
      </w:r>
      <w:r w:rsidR="00A949BE">
        <w:rPr>
          <w:rFonts w:ascii="David" w:hAnsi="David" w:cs="David"/>
          <w:sz w:val="24"/>
          <w:szCs w:val="24"/>
          <w:rtl/>
        </w:rPr>
        <w:t>א'</w:t>
      </w:r>
      <w:r>
        <w:rPr>
          <w:rFonts w:ascii="David" w:hAnsi="David" w:cs="David"/>
          <w:sz w:val="24"/>
          <w:szCs w:val="24"/>
          <w:rtl/>
        </w:rPr>
        <w:t xml:space="preserve"> בגין החודשים פברואר – מרץ 2023 שולמו לחשבון הבנק של האב והאב הודה בך "ברחל בתך הקטנה" </w:t>
      </w:r>
      <w:r>
        <w:rPr>
          <w:rFonts w:ascii="David" w:hAnsi="David" w:cs="David"/>
          <w:b/>
          <w:bCs/>
          <w:sz w:val="24"/>
          <w:szCs w:val="24"/>
          <w:rtl/>
        </w:rPr>
        <w:t>ראו: פרוט' עמ' 8 ש' 27-9</w:t>
      </w:r>
      <w:r>
        <w:rPr>
          <w:rFonts w:ascii="David" w:hAnsi="David" w:cs="David"/>
          <w:sz w:val="24"/>
          <w:szCs w:val="24"/>
          <w:rtl/>
        </w:rPr>
        <w:t>.</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במצב דברים זה, כאשר </w:t>
      </w:r>
      <w:r w:rsidR="00A949BE">
        <w:rPr>
          <w:rFonts w:ascii="David" w:hAnsi="David" w:cs="David"/>
          <w:sz w:val="24"/>
          <w:szCs w:val="24"/>
          <w:rtl/>
        </w:rPr>
        <w:t>א'</w:t>
      </w:r>
      <w:r>
        <w:rPr>
          <w:rFonts w:ascii="David" w:hAnsi="David" w:cs="David"/>
          <w:sz w:val="24"/>
          <w:szCs w:val="24"/>
          <w:rtl/>
        </w:rPr>
        <w:t xml:space="preserve"> שהתה בבית האם מיום 15.2.23 וכל הוצאותיה של </w:t>
      </w:r>
      <w:r w:rsidR="00A949BE">
        <w:rPr>
          <w:rFonts w:ascii="David" w:hAnsi="David" w:cs="David"/>
          <w:sz w:val="24"/>
          <w:szCs w:val="24"/>
          <w:rtl/>
        </w:rPr>
        <w:t>א'</w:t>
      </w:r>
      <w:r>
        <w:rPr>
          <w:rFonts w:ascii="David" w:hAnsi="David" w:cs="David"/>
          <w:sz w:val="24"/>
          <w:szCs w:val="24"/>
          <w:rtl/>
        </w:rPr>
        <w:t xml:space="preserve"> ממועד זה מומנו על-ידי האם </w:t>
      </w:r>
      <w:r>
        <w:rPr>
          <w:rFonts w:ascii="David" w:hAnsi="David" w:cs="David"/>
          <w:b/>
          <w:bCs/>
          <w:sz w:val="24"/>
          <w:szCs w:val="24"/>
          <w:rtl/>
        </w:rPr>
        <w:t>ראו: פרוט' עמ' 4 ש' 28-29</w:t>
      </w:r>
      <w:r>
        <w:rPr>
          <w:rFonts w:ascii="David" w:hAnsi="David" w:cs="David"/>
          <w:sz w:val="24"/>
          <w:szCs w:val="24"/>
          <w:rtl/>
        </w:rPr>
        <w:t xml:space="preserve">, ומנגד, מיום 15.2.23 האב לא הוציא סך כלשהו בגין הצרכים של </w:t>
      </w:r>
      <w:r w:rsidR="00A949BE">
        <w:rPr>
          <w:rFonts w:ascii="David" w:hAnsi="David" w:cs="David"/>
          <w:sz w:val="24"/>
          <w:szCs w:val="24"/>
          <w:rtl/>
        </w:rPr>
        <w:t>א'</w:t>
      </w:r>
      <w:r>
        <w:rPr>
          <w:rFonts w:ascii="David" w:hAnsi="David" w:cs="David"/>
          <w:sz w:val="24"/>
          <w:szCs w:val="24"/>
          <w:rtl/>
        </w:rPr>
        <w:t xml:space="preserve">, האם היא זו שזכאית לקבלת כל הכספים והקצבאות ששולמו בגין </w:t>
      </w:r>
      <w:r w:rsidR="00A949BE">
        <w:rPr>
          <w:rFonts w:ascii="David" w:hAnsi="David" w:cs="David"/>
          <w:sz w:val="24"/>
          <w:szCs w:val="24"/>
          <w:rtl/>
        </w:rPr>
        <w:t>א'</w:t>
      </w:r>
      <w:r>
        <w:rPr>
          <w:rFonts w:ascii="David" w:hAnsi="David" w:cs="David"/>
          <w:sz w:val="24"/>
          <w:szCs w:val="24"/>
          <w:rtl/>
        </w:rPr>
        <w:t xml:space="preserve"> מכל גורם שהוא, לרבות מטעם המל"ל.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כל תוצאה אחרת ובכלל זאת דחיית התביעה תביא למצב של חוסר צדק קיצוני. נפסק כי</w:t>
      </w:r>
      <w:r>
        <w:rPr>
          <w:rFonts w:ascii="David" w:hAnsi="David" w:cs="David"/>
          <w:b/>
          <w:bCs/>
          <w:sz w:val="24"/>
          <w:szCs w:val="24"/>
          <w:rtl/>
        </w:rPr>
        <w:t xml:space="preserve"> </w:t>
      </w:r>
      <w:r>
        <w:rPr>
          <w:rFonts w:ascii="David" w:hAnsi="David" w:cs="David"/>
          <w:sz w:val="24"/>
          <w:szCs w:val="24"/>
          <w:rtl/>
        </w:rPr>
        <w:t xml:space="preserve">בנסיבות מסוימות, בהן נוצר חוסר צדק קיצוני – כמו במקרה שלפניי – רשאי בית המשפט לעשות שימוש בחוק עשיית עושר ולא במשפט, התשל"ט–1979, לצורך קבלת התביעה </w:t>
      </w:r>
      <w:r>
        <w:rPr>
          <w:rFonts w:ascii="David" w:hAnsi="David" w:cs="David"/>
          <w:b/>
          <w:bCs/>
          <w:sz w:val="24"/>
          <w:szCs w:val="24"/>
          <w:rtl/>
        </w:rPr>
        <w:t>ראו:</w:t>
      </w:r>
      <w:r>
        <w:rPr>
          <w:rFonts w:ascii="David" w:hAnsi="David" w:cs="David"/>
          <w:sz w:val="24"/>
          <w:szCs w:val="24"/>
          <w:rtl/>
        </w:rPr>
        <w:t xml:space="preserve"> תמ"ש 17364-12-12 </w:t>
      </w:r>
      <w:r>
        <w:rPr>
          <w:rFonts w:ascii="David" w:hAnsi="David" w:cs="David"/>
          <w:b/>
          <w:bCs/>
          <w:sz w:val="24"/>
          <w:szCs w:val="24"/>
          <w:rtl/>
        </w:rPr>
        <w:t xml:space="preserve">צ.ק. נ' ר.מ. </w:t>
      </w:r>
      <w:r>
        <w:rPr>
          <w:rFonts w:ascii="David" w:hAnsi="David" w:cs="David"/>
          <w:sz w:val="24"/>
          <w:szCs w:val="24"/>
          <w:rtl/>
        </w:rPr>
        <w:t>(5.12.2013).</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האב טען כי ככל שבית המשפט ידחה את טענות הסף ויאפשר לאם לברר את תביעתה, יש לקזז סכומי מזונות ילדים אותם חייבת האם לאב על-פי פסק דין מיום 30.4.19 שניתן בתלה"מ </w:t>
      </w:r>
      <w:r>
        <w:rPr>
          <w:rFonts w:ascii="David" w:hAnsi="David" w:cs="David"/>
          <w:sz w:val="24"/>
          <w:szCs w:val="24"/>
          <w:rtl/>
        </w:rPr>
        <w:lastRenderedPageBreak/>
        <w:t xml:space="preserve">27412-11-17 והאב שומר לעצמו את הזכות להעלות את סכומי המזונות המדויקים, אותם חבה לו האם לטענתו </w:t>
      </w:r>
      <w:r>
        <w:rPr>
          <w:rFonts w:ascii="David" w:hAnsi="David" w:cs="David"/>
          <w:b/>
          <w:bCs/>
          <w:sz w:val="24"/>
          <w:szCs w:val="24"/>
          <w:rtl/>
        </w:rPr>
        <w:t>ראו: ס' 8 ו-13 לכתב ההגנה</w:t>
      </w:r>
      <w:r>
        <w:rPr>
          <w:rFonts w:ascii="David" w:hAnsi="David" w:cs="David"/>
          <w:sz w:val="24"/>
          <w:szCs w:val="24"/>
          <w:rtl/>
        </w:rPr>
        <w:t>.</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כידוע, נתבע המעלה טענת קיזוז, חייב לפרט את הסכום הנתבע במסגרתה ואף להציג במדויק את מערכת הנתונים, אשר עליהם היא מבוססת </w:t>
      </w:r>
      <w:r>
        <w:rPr>
          <w:rFonts w:ascii="David" w:hAnsi="David" w:cs="David"/>
          <w:b/>
          <w:bCs/>
          <w:sz w:val="24"/>
          <w:szCs w:val="24"/>
          <w:rtl/>
        </w:rPr>
        <w:t>ראו</w:t>
      </w:r>
      <w:r>
        <w:rPr>
          <w:rFonts w:ascii="David" w:hAnsi="David" w:cs="David"/>
          <w:sz w:val="24"/>
          <w:szCs w:val="24"/>
          <w:rtl/>
        </w:rPr>
        <w:t xml:space="preserve">: ע"א 63010-01-23 </w:t>
      </w:r>
      <w:r>
        <w:rPr>
          <w:rFonts w:ascii="David" w:hAnsi="David" w:cs="David"/>
          <w:b/>
          <w:bCs/>
          <w:sz w:val="24"/>
          <w:szCs w:val="24"/>
          <w:rtl/>
        </w:rPr>
        <w:t>בן סימון נ' אדרי (15.10.2023)</w:t>
      </w:r>
      <w:r>
        <w:rPr>
          <w:rFonts w:ascii="David" w:hAnsi="David" w:cs="David"/>
          <w:sz w:val="24"/>
          <w:szCs w:val="24"/>
          <w:rtl/>
        </w:rPr>
        <w:t>.</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האב לא פירט את הסכומים לו חבה האם לטענתו בגין מזונות הקטינים, לא הגיש תיק מוצגים בהתאם להחלטה מיום 16.8.23 ובכך לא הרים את הנטל להוכיח את זכות הקיזוז </w:t>
      </w:r>
      <w:r>
        <w:rPr>
          <w:rFonts w:ascii="David" w:hAnsi="David" w:cs="David"/>
          <w:b/>
          <w:bCs/>
          <w:sz w:val="24"/>
          <w:szCs w:val="24"/>
          <w:rtl/>
        </w:rPr>
        <w:t>ראו</w:t>
      </w:r>
      <w:r>
        <w:rPr>
          <w:rFonts w:ascii="David" w:hAnsi="David" w:cs="David"/>
          <w:sz w:val="24"/>
          <w:szCs w:val="24"/>
          <w:rtl/>
        </w:rPr>
        <w:t xml:space="preserve">: ע"א 7490/17 </w:t>
      </w:r>
      <w:r>
        <w:rPr>
          <w:rFonts w:ascii="David" w:hAnsi="David" w:cs="David"/>
          <w:b/>
          <w:bCs/>
          <w:sz w:val="24"/>
          <w:szCs w:val="24"/>
          <w:rtl/>
        </w:rPr>
        <w:t xml:space="preserve">כוכבי נ' הכונס הרשמי </w:t>
      </w:r>
      <w:r>
        <w:rPr>
          <w:rFonts w:ascii="David" w:hAnsi="David" w:cs="David"/>
          <w:sz w:val="24"/>
          <w:szCs w:val="24"/>
          <w:rtl/>
        </w:rPr>
        <w:t>(27.10.2019).</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על יסוד נימוקים אלה, כאשר טענת הקיזוז הינה טענת ההגנה היחידה של האב (למעט טענות הסף שנדחו), וטענת הקיזוז לא הוכחה ואף נזנחה בסיכומים, אני מקבל את התביעה וקובע כי האב חב לאם סך של 17,902.50 ₪ </w:t>
      </w:r>
      <w:r>
        <w:rPr>
          <w:rFonts w:ascii="David" w:hAnsi="David" w:cs="David"/>
          <w:b/>
          <w:bCs/>
          <w:sz w:val="24"/>
          <w:szCs w:val="24"/>
          <w:rtl/>
        </w:rPr>
        <w:t>ראו: פרוט' עמ' 10 ש' 32</w:t>
      </w:r>
      <w:r>
        <w:rPr>
          <w:rFonts w:ascii="David" w:hAnsi="David" w:cs="David"/>
          <w:sz w:val="24"/>
          <w:szCs w:val="24"/>
          <w:rtl/>
        </w:rPr>
        <w:t xml:space="preserve"> שעודכן על-ידי האם ביחס לסכום התביעה המקורי על דרך הפחתה בשל העובדה כי המל"ל שילם לידיה את הקצבאות בגין חודש אפריל 2023.</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לא התעלמתי מטענת האב בסיכומים כי המל"ל יכול לתבוע את הסכומים ששולמו על ידו לידי האב בגין </w:t>
      </w:r>
      <w:r w:rsidR="00A949BE">
        <w:rPr>
          <w:rFonts w:ascii="David" w:hAnsi="David" w:cs="David"/>
          <w:sz w:val="24"/>
          <w:szCs w:val="24"/>
          <w:rtl/>
        </w:rPr>
        <w:t>א'</w:t>
      </w:r>
      <w:r>
        <w:rPr>
          <w:rFonts w:ascii="David" w:hAnsi="David" w:cs="David"/>
          <w:sz w:val="24"/>
          <w:szCs w:val="24"/>
          <w:rtl/>
        </w:rPr>
        <w:t xml:space="preserve"> </w:t>
      </w:r>
      <w:r>
        <w:rPr>
          <w:rFonts w:ascii="David" w:hAnsi="David" w:cs="David"/>
          <w:b/>
          <w:bCs/>
          <w:sz w:val="24"/>
          <w:szCs w:val="24"/>
          <w:rtl/>
        </w:rPr>
        <w:t>ראו: פרוט' עמ' 12 ש' 4-5</w:t>
      </w:r>
      <w:r>
        <w:rPr>
          <w:rFonts w:ascii="David" w:hAnsi="David" w:cs="David"/>
          <w:sz w:val="24"/>
          <w:szCs w:val="24"/>
          <w:rtl/>
        </w:rPr>
        <w:t xml:space="preserve">. </w:t>
      </w:r>
    </w:p>
    <w:p w:rsidR="002901E2" w:rsidRPr="0077456F" w:rsidRDefault="002901E2" w:rsidP="002901E2">
      <w:pPr>
        <w:pStyle w:val="a9"/>
        <w:rPr>
          <w:rFonts w:ascii="David" w:hAnsi="David" w:cs="David"/>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דין טענה זו להידחות.</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spacing w:after="0" w:line="360" w:lineRule="auto"/>
        <w:ind w:left="566"/>
        <w:jc w:val="both"/>
        <w:rPr>
          <w:rFonts w:ascii="David" w:hAnsi="David" w:cs="David"/>
          <w:sz w:val="24"/>
          <w:szCs w:val="24"/>
          <w:rtl/>
        </w:rPr>
      </w:pPr>
      <w:r>
        <w:rPr>
          <w:rFonts w:ascii="David" w:hAnsi="David" w:cs="David"/>
          <w:sz w:val="24"/>
          <w:szCs w:val="24"/>
          <w:u w:val="single"/>
          <w:rtl/>
        </w:rPr>
        <w:t>ראשית</w:t>
      </w:r>
      <w:r>
        <w:rPr>
          <w:rFonts w:ascii="David" w:hAnsi="David" w:cs="David"/>
          <w:sz w:val="24"/>
          <w:szCs w:val="24"/>
          <w:rtl/>
        </w:rPr>
        <w:t xml:space="preserve">, גם אם נכונה טענת האב כי המל"ל יכול להגיש נגדו תביעה בגין הכספים ששולמו לידו בגין </w:t>
      </w:r>
      <w:r w:rsidR="00A949BE">
        <w:rPr>
          <w:rFonts w:ascii="David" w:hAnsi="David" w:cs="David"/>
          <w:sz w:val="24"/>
          <w:szCs w:val="24"/>
          <w:rtl/>
        </w:rPr>
        <w:t>א'</w:t>
      </w:r>
      <w:r>
        <w:rPr>
          <w:rFonts w:ascii="David" w:hAnsi="David" w:cs="David"/>
          <w:sz w:val="24"/>
          <w:szCs w:val="24"/>
          <w:rtl/>
        </w:rPr>
        <w:t xml:space="preserve"> – ואיני קובע מסמרות לכאן או לכאן בעניין טענה זו – הרי שאין ביכולת המל"ל לתבוע את האב כדי לאיין את עילת התביעה של האם בהיותה האפוטרופסית של </w:t>
      </w:r>
      <w:r w:rsidR="00A949BE">
        <w:rPr>
          <w:rFonts w:ascii="David" w:hAnsi="David" w:cs="David"/>
          <w:sz w:val="24"/>
          <w:szCs w:val="24"/>
          <w:rtl/>
        </w:rPr>
        <w:t>א'</w:t>
      </w:r>
      <w:r>
        <w:rPr>
          <w:rFonts w:ascii="David" w:hAnsi="David" w:cs="David"/>
          <w:sz w:val="24"/>
          <w:szCs w:val="24"/>
          <w:rtl/>
        </w:rPr>
        <w:t>.</w:t>
      </w:r>
    </w:p>
    <w:p w:rsidR="002901E2" w:rsidRDefault="002901E2" w:rsidP="002901E2">
      <w:pPr>
        <w:pStyle w:val="a9"/>
        <w:spacing w:after="0" w:line="360" w:lineRule="auto"/>
        <w:jc w:val="both"/>
        <w:rPr>
          <w:rFonts w:ascii="David" w:hAnsi="David" w:cs="David"/>
          <w:sz w:val="24"/>
          <w:szCs w:val="24"/>
          <w:rtl/>
        </w:rPr>
      </w:pPr>
    </w:p>
    <w:p w:rsidR="002901E2" w:rsidRDefault="002901E2" w:rsidP="002901E2">
      <w:pPr>
        <w:pStyle w:val="a9"/>
        <w:spacing w:after="0" w:line="360" w:lineRule="auto"/>
        <w:ind w:left="566"/>
        <w:jc w:val="both"/>
        <w:rPr>
          <w:rFonts w:ascii="David" w:hAnsi="David" w:cs="David"/>
          <w:sz w:val="24"/>
          <w:szCs w:val="24"/>
          <w:rtl/>
        </w:rPr>
      </w:pPr>
      <w:r>
        <w:rPr>
          <w:rFonts w:ascii="David" w:hAnsi="David" w:cs="David"/>
          <w:sz w:val="24"/>
          <w:szCs w:val="24"/>
          <w:u w:val="single"/>
          <w:rtl/>
        </w:rPr>
        <w:t>שנית</w:t>
      </w:r>
      <w:r>
        <w:rPr>
          <w:rFonts w:ascii="David" w:hAnsi="David" w:cs="David"/>
          <w:sz w:val="24"/>
          <w:szCs w:val="24"/>
          <w:rtl/>
        </w:rPr>
        <w:t xml:space="preserve">, טענה זו נטענה לראשונה בסיכומים ודינה להידחות גם מטעם זה </w:t>
      </w:r>
      <w:r>
        <w:rPr>
          <w:rFonts w:ascii="David" w:hAnsi="David" w:cs="David"/>
          <w:b/>
          <w:bCs/>
          <w:sz w:val="24"/>
          <w:szCs w:val="24"/>
          <w:rtl/>
        </w:rPr>
        <w:t>ראו</w:t>
      </w:r>
      <w:r>
        <w:rPr>
          <w:rFonts w:ascii="David" w:hAnsi="David" w:cs="David"/>
          <w:sz w:val="24"/>
          <w:szCs w:val="24"/>
          <w:rtl/>
        </w:rPr>
        <w:t xml:space="preserve">: ע"א 4077/21 </w:t>
      </w:r>
      <w:r>
        <w:rPr>
          <w:rFonts w:ascii="David" w:hAnsi="David" w:cs="David"/>
          <w:b/>
          <w:bCs/>
          <w:sz w:val="24"/>
          <w:szCs w:val="24"/>
          <w:rtl/>
        </w:rPr>
        <w:t>עסיס רימונים בע"מ נ' פאי סיאם בע"מ</w:t>
      </w:r>
      <w:r>
        <w:rPr>
          <w:rFonts w:ascii="David" w:hAnsi="David" w:cs="David"/>
          <w:sz w:val="24"/>
          <w:szCs w:val="24"/>
          <w:rtl/>
        </w:rPr>
        <w:t xml:space="preserve"> (28.2.2023); ת"א (מחוזי חיפה) 58528-11-19 </w:t>
      </w:r>
      <w:r>
        <w:rPr>
          <w:rFonts w:ascii="David" w:hAnsi="David" w:cs="David"/>
          <w:b/>
          <w:bCs/>
          <w:sz w:val="24"/>
          <w:szCs w:val="24"/>
          <w:rtl/>
        </w:rPr>
        <w:t xml:space="preserve">שומר נ' שומר </w:t>
      </w:r>
      <w:r>
        <w:rPr>
          <w:rFonts w:ascii="David" w:hAnsi="David" w:cs="David"/>
          <w:sz w:val="24"/>
          <w:szCs w:val="24"/>
          <w:rtl/>
        </w:rPr>
        <w:t>(27.7.2023).</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לא התעלמתי מעתירת האב בסיכומים לקבל צווים שמטרתם לבדוק האם קיבלה האם החזרים מביטוח משלים </w:t>
      </w:r>
      <w:r>
        <w:rPr>
          <w:rFonts w:ascii="David" w:hAnsi="David" w:cs="David"/>
          <w:b/>
          <w:bCs/>
          <w:sz w:val="24"/>
          <w:szCs w:val="24"/>
          <w:rtl/>
        </w:rPr>
        <w:t>ראו: פרוט' עמ' 12 ש' 7-9, ש' 11-12</w:t>
      </w:r>
      <w:r>
        <w:rPr>
          <w:rFonts w:ascii="David" w:hAnsi="David" w:cs="David"/>
          <w:sz w:val="24"/>
          <w:szCs w:val="24"/>
          <w:rtl/>
        </w:rPr>
        <w:t xml:space="preserve">. </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דין העתירה להידחות.</w:t>
      </w:r>
    </w:p>
    <w:p w:rsidR="002901E2" w:rsidRDefault="002901E2" w:rsidP="002901E2">
      <w:pPr>
        <w:pStyle w:val="a9"/>
        <w:spacing w:after="0" w:line="360" w:lineRule="auto"/>
        <w:jc w:val="both"/>
        <w:rPr>
          <w:rFonts w:ascii="David" w:hAnsi="David" w:cs="David"/>
          <w:sz w:val="24"/>
          <w:szCs w:val="24"/>
          <w:rtl/>
        </w:rPr>
      </w:pPr>
    </w:p>
    <w:p w:rsidR="002901E2" w:rsidRDefault="002901E2" w:rsidP="002901E2">
      <w:pPr>
        <w:pStyle w:val="a9"/>
        <w:spacing w:after="0" w:line="360" w:lineRule="auto"/>
        <w:ind w:left="566"/>
        <w:jc w:val="both"/>
        <w:rPr>
          <w:rFonts w:ascii="David" w:hAnsi="David" w:cs="David"/>
          <w:sz w:val="24"/>
          <w:szCs w:val="24"/>
        </w:rPr>
      </w:pPr>
      <w:r>
        <w:rPr>
          <w:rFonts w:ascii="David" w:hAnsi="David" w:cs="David"/>
          <w:sz w:val="24"/>
          <w:szCs w:val="24"/>
          <w:u w:val="single"/>
          <w:rtl/>
        </w:rPr>
        <w:t>ראשית</w:t>
      </w:r>
      <w:r>
        <w:rPr>
          <w:rFonts w:ascii="David" w:hAnsi="David" w:cs="David"/>
          <w:sz w:val="24"/>
          <w:szCs w:val="24"/>
          <w:rtl/>
        </w:rPr>
        <w:t>, העתירה לקבל צווים הועלתה לראשונה בסיכומים ודינה להידחות גם מטעם זה.</w:t>
      </w:r>
    </w:p>
    <w:p w:rsidR="002901E2" w:rsidRDefault="002901E2" w:rsidP="002901E2">
      <w:pPr>
        <w:pStyle w:val="a9"/>
        <w:spacing w:after="0" w:line="360" w:lineRule="auto"/>
        <w:jc w:val="both"/>
        <w:rPr>
          <w:rFonts w:ascii="David" w:hAnsi="David" w:cs="David"/>
          <w:sz w:val="24"/>
          <w:szCs w:val="24"/>
          <w:rtl/>
        </w:rPr>
      </w:pPr>
    </w:p>
    <w:p w:rsidR="002901E2" w:rsidRDefault="002901E2" w:rsidP="002901E2">
      <w:pPr>
        <w:pStyle w:val="a9"/>
        <w:spacing w:after="0" w:line="360" w:lineRule="auto"/>
        <w:ind w:left="566"/>
        <w:jc w:val="both"/>
        <w:rPr>
          <w:rFonts w:ascii="David" w:hAnsi="David" w:cs="David"/>
          <w:sz w:val="24"/>
          <w:szCs w:val="24"/>
          <w:rtl/>
        </w:rPr>
      </w:pPr>
      <w:r>
        <w:rPr>
          <w:rFonts w:ascii="David" w:hAnsi="David" w:cs="David"/>
          <w:sz w:val="24"/>
          <w:szCs w:val="24"/>
          <w:u w:val="single"/>
          <w:rtl/>
        </w:rPr>
        <w:t>שנית</w:t>
      </w:r>
      <w:r>
        <w:rPr>
          <w:rFonts w:ascii="David" w:hAnsi="David" w:cs="David"/>
          <w:sz w:val="24"/>
          <w:szCs w:val="24"/>
          <w:rtl/>
        </w:rPr>
        <w:t xml:space="preserve">, הליכי גילוי מסמכים הינם הליכים מקדמיים </w:t>
      </w:r>
      <w:r>
        <w:rPr>
          <w:rFonts w:ascii="David" w:hAnsi="David" w:cs="David"/>
          <w:b/>
          <w:bCs/>
          <w:sz w:val="24"/>
          <w:szCs w:val="24"/>
          <w:rtl/>
        </w:rPr>
        <w:t>ראו:</w:t>
      </w:r>
      <w:r>
        <w:rPr>
          <w:rFonts w:ascii="David" w:hAnsi="David" w:cs="David"/>
          <w:sz w:val="24"/>
          <w:szCs w:val="24"/>
          <w:rtl/>
        </w:rPr>
        <w:t xml:space="preserve"> רע"א 6720/13 </w:t>
      </w:r>
      <w:r>
        <w:rPr>
          <w:rFonts w:ascii="David" w:hAnsi="David" w:cs="David"/>
          <w:b/>
          <w:bCs/>
          <w:sz w:val="24"/>
          <w:szCs w:val="24"/>
          <w:rtl/>
        </w:rPr>
        <w:t xml:space="preserve">סופר מדיק (מדיק לייט) בע"מ נ' </w:t>
      </w:r>
      <w:r>
        <w:rPr>
          <w:rFonts w:ascii="David" w:hAnsi="David" w:cs="David"/>
          <w:b/>
          <w:bCs/>
          <w:sz w:val="24"/>
          <w:szCs w:val="24"/>
        </w:rPr>
        <w:t>anton hubner gmbh</w:t>
      </w:r>
      <w:r>
        <w:rPr>
          <w:rFonts w:ascii="David" w:hAnsi="David" w:cs="David"/>
          <w:b/>
          <w:bCs/>
          <w:sz w:val="24"/>
          <w:szCs w:val="24"/>
          <w:rtl/>
        </w:rPr>
        <w:t xml:space="preserve"> </w:t>
      </w:r>
      <w:r>
        <w:rPr>
          <w:rFonts w:ascii="David" w:hAnsi="David" w:cs="David"/>
          <w:sz w:val="24"/>
          <w:szCs w:val="24"/>
          <w:rtl/>
        </w:rPr>
        <w:t>(16.10.2013) ואין מקום להידרש להם במסגרת הסיכומים.</w:t>
      </w:r>
    </w:p>
    <w:p w:rsidR="002901E2" w:rsidRDefault="002901E2" w:rsidP="002901E2">
      <w:pPr>
        <w:pStyle w:val="a9"/>
        <w:spacing w:after="0" w:line="360" w:lineRule="auto"/>
        <w:jc w:val="both"/>
        <w:rPr>
          <w:rFonts w:ascii="David" w:hAnsi="David" w:cs="David"/>
          <w:sz w:val="24"/>
          <w:szCs w:val="24"/>
          <w:rtl/>
        </w:rPr>
      </w:pPr>
    </w:p>
    <w:p w:rsidR="002901E2" w:rsidRDefault="002901E2" w:rsidP="002901E2">
      <w:pPr>
        <w:pStyle w:val="a9"/>
        <w:spacing w:after="0" w:line="360" w:lineRule="auto"/>
        <w:ind w:left="566"/>
        <w:jc w:val="both"/>
        <w:rPr>
          <w:rFonts w:ascii="David" w:hAnsi="David" w:cs="David"/>
          <w:sz w:val="24"/>
          <w:szCs w:val="24"/>
          <w:rtl/>
        </w:rPr>
      </w:pPr>
      <w:r>
        <w:rPr>
          <w:rFonts w:ascii="David" w:hAnsi="David" w:cs="David"/>
          <w:sz w:val="24"/>
          <w:szCs w:val="24"/>
          <w:u w:val="single"/>
          <w:rtl/>
        </w:rPr>
        <w:t>שלישית</w:t>
      </w:r>
      <w:r>
        <w:rPr>
          <w:rFonts w:ascii="David" w:hAnsi="David" w:cs="David"/>
          <w:sz w:val="24"/>
          <w:szCs w:val="24"/>
          <w:rtl/>
        </w:rPr>
        <w:t xml:space="preserve">, לא מן הראוי לאפשר לכתב הגנה להוות כתב תביעה ומן הראוי כי כל סעד ידון במסגרת משפטית מתאימה </w:t>
      </w:r>
      <w:r>
        <w:rPr>
          <w:rFonts w:ascii="David" w:hAnsi="David" w:cs="David"/>
          <w:b/>
          <w:bCs/>
          <w:sz w:val="24"/>
          <w:szCs w:val="24"/>
          <w:rtl/>
        </w:rPr>
        <w:t>ראו</w:t>
      </w:r>
      <w:r>
        <w:rPr>
          <w:rFonts w:ascii="David" w:hAnsi="David" w:cs="David"/>
          <w:sz w:val="24"/>
          <w:szCs w:val="24"/>
          <w:rtl/>
        </w:rPr>
        <w:t xml:space="preserve">: תמ"ש (ת"א) 12500/07 </w:t>
      </w:r>
      <w:r>
        <w:rPr>
          <w:rFonts w:ascii="David" w:hAnsi="David" w:cs="David"/>
          <w:b/>
          <w:bCs/>
          <w:sz w:val="24"/>
          <w:szCs w:val="24"/>
          <w:rtl/>
        </w:rPr>
        <w:t>ג.י. נ' . ד.א</w:t>
      </w:r>
      <w:r>
        <w:rPr>
          <w:rFonts w:ascii="David" w:hAnsi="David" w:cs="David"/>
          <w:sz w:val="24"/>
          <w:szCs w:val="24"/>
          <w:rtl/>
        </w:rPr>
        <w:t>. (6.7.2009).</w:t>
      </w:r>
    </w:p>
    <w:p w:rsidR="002901E2" w:rsidRDefault="002901E2" w:rsidP="002901E2">
      <w:pPr>
        <w:pStyle w:val="a9"/>
        <w:spacing w:after="0" w:line="360" w:lineRule="auto"/>
        <w:jc w:val="both"/>
        <w:rPr>
          <w:rFonts w:ascii="David" w:hAnsi="David" w:cs="David"/>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כאמור, התוצאה היא כי התביעה מתקבלת.</w:t>
      </w:r>
    </w:p>
    <w:p w:rsidR="002901E2" w:rsidRDefault="002901E2" w:rsidP="002901E2">
      <w:pPr>
        <w:spacing w:line="360" w:lineRule="auto"/>
        <w:jc w:val="both"/>
        <w:rPr>
          <w:rFonts w:ascii="David" w:hAnsi="David"/>
          <w:rtl/>
        </w:rPr>
      </w:pPr>
    </w:p>
    <w:p w:rsidR="002901E2" w:rsidRPr="0077456F" w:rsidRDefault="002901E2" w:rsidP="002901E2">
      <w:pPr>
        <w:spacing w:line="360" w:lineRule="auto"/>
        <w:jc w:val="center"/>
        <w:rPr>
          <w:rFonts w:ascii="David" w:hAnsi="David"/>
          <w:b/>
          <w:bCs/>
          <w:sz w:val="28"/>
          <w:szCs w:val="28"/>
          <w:u w:val="single"/>
          <w:rtl/>
        </w:rPr>
      </w:pPr>
      <w:r w:rsidRPr="0077456F">
        <w:rPr>
          <w:rFonts w:ascii="David" w:hAnsi="David"/>
          <w:b/>
          <w:bCs/>
          <w:sz w:val="28"/>
          <w:szCs w:val="28"/>
          <w:u w:val="single"/>
          <w:rtl/>
        </w:rPr>
        <w:t>א"פ 55192-04-23</w:t>
      </w:r>
    </w:p>
    <w:p w:rsidR="002901E2" w:rsidRDefault="002901E2" w:rsidP="002901E2">
      <w:pPr>
        <w:spacing w:line="360" w:lineRule="auto"/>
        <w:jc w:val="both"/>
        <w:rPr>
          <w:rFonts w:ascii="David" w:hAnsi="David"/>
          <w:u w:val="single"/>
          <w:rtl/>
        </w:rPr>
      </w:pPr>
    </w:p>
    <w:p w:rsidR="002901E2" w:rsidRDefault="002901E2" w:rsidP="002901E2">
      <w:pPr>
        <w:spacing w:line="360" w:lineRule="auto"/>
        <w:jc w:val="both"/>
        <w:rPr>
          <w:rFonts w:ascii="David" w:hAnsi="David"/>
          <w:b/>
          <w:bCs/>
          <w:rtl/>
        </w:rPr>
      </w:pPr>
      <w:r>
        <w:rPr>
          <w:rFonts w:ascii="David" w:hAnsi="David"/>
          <w:b/>
          <w:bCs/>
          <w:u w:val="single"/>
          <w:rtl/>
        </w:rPr>
        <w:t>עיקר טענות האם</w:t>
      </w:r>
    </w:p>
    <w:p w:rsidR="002901E2" w:rsidRDefault="002901E2" w:rsidP="002901E2">
      <w:pPr>
        <w:spacing w:line="360" w:lineRule="auto"/>
        <w:jc w:val="both"/>
        <w:rPr>
          <w:rFonts w:ascii="David" w:hAnsi="David"/>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לאחר שקיבלה האם גישה לתיק של </w:t>
      </w:r>
      <w:r w:rsidR="00A949BE">
        <w:rPr>
          <w:rFonts w:ascii="David" w:hAnsi="David" w:cs="David"/>
          <w:sz w:val="24"/>
          <w:szCs w:val="24"/>
          <w:rtl/>
        </w:rPr>
        <w:t>א'</w:t>
      </w:r>
      <w:r>
        <w:rPr>
          <w:rFonts w:ascii="David" w:hAnsi="David" w:cs="David"/>
          <w:sz w:val="24"/>
          <w:szCs w:val="24"/>
          <w:rtl/>
        </w:rPr>
        <w:t xml:space="preserve"> במל"ל, הוברר לה כי הביטוח הלאומי העביר לחשבון הבנק של האב, קצבאות נכות ושר"ם של </w:t>
      </w:r>
      <w:r w:rsidR="00A949BE">
        <w:rPr>
          <w:rFonts w:ascii="David" w:hAnsi="David" w:cs="David"/>
          <w:sz w:val="24"/>
          <w:szCs w:val="24"/>
          <w:rtl/>
        </w:rPr>
        <w:t>א'</w:t>
      </w:r>
      <w:r>
        <w:rPr>
          <w:rFonts w:ascii="David" w:hAnsi="David" w:cs="David"/>
          <w:sz w:val="24"/>
          <w:szCs w:val="24"/>
          <w:rtl/>
        </w:rPr>
        <w:t xml:space="preserve"> החל ממועד הגיעה לבגרות ועד לחודש פברואר 2023 עת הוצאה מבית האב.</w:t>
      </w:r>
    </w:p>
    <w:p w:rsidR="00AF0FB5" w:rsidRDefault="00AF0FB5" w:rsidP="00AF0FB5">
      <w:pPr>
        <w:pStyle w:val="a9"/>
        <w:spacing w:after="0" w:line="360" w:lineRule="auto"/>
        <w:ind w:left="566"/>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עולה כי מיום 27.5.2022</w:t>
      </w:r>
      <w:r>
        <w:rPr>
          <w:rFonts w:ascii="David" w:hAnsi="David" w:cs="David" w:hint="cs"/>
          <w:sz w:val="24"/>
          <w:szCs w:val="24"/>
          <w:rtl/>
        </w:rPr>
        <w:t xml:space="preserve"> </w:t>
      </w:r>
      <w:r>
        <w:rPr>
          <w:rFonts w:ascii="David" w:hAnsi="David" w:cs="David"/>
          <w:sz w:val="24"/>
          <w:szCs w:val="24"/>
          <w:rtl/>
        </w:rPr>
        <w:t xml:space="preserve">ועד ליום 31.12.2022 שילם המל"ל לחשבון הבנק של האב כספי קצבת נכות של </w:t>
      </w:r>
      <w:r w:rsidR="00A949BE">
        <w:rPr>
          <w:rFonts w:ascii="David" w:hAnsi="David" w:cs="David"/>
          <w:sz w:val="24"/>
          <w:szCs w:val="24"/>
          <w:rtl/>
        </w:rPr>
        <w:t>א'</w:t>
      </w:r>
      <w:r>
        <w:rPr>
          <w:rFonts w:ascii="David" w:hAnsi="David" w:cs="David"/>
          <w:sz w:val="24"/>
          <w:szCs w:val="24"/>
          <w:rtl/>
        </w:rPr>
        <w:t xml:space="preserve"> בסך של 3,700 ₪ לחודש וכן קצבת שירותים מיוחדים בסך של 7,168 ₪ ובסך הכול סכום חודשי של ₪ 10,868 לחודש.</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עוד נודע לאם כי החל מיום 1.1.2023 הוגדלו שיעורי הקצבה כך ששולם לידי חשבונו של האב סך של 4,063 ₪ בגין קצבת נכות וסך של 7,872 ₪ בגין שירותים מיוחדים ובסך הכול סכום חודשי של 11,925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לפיכך שולם לחשבון האב מאת המל"ל בגין התקופה שהחלה ביום 27.5.2022 עת בגרה </w:t>
      </w:r>
      <w:r w:rsidR="00A949BE">
        <w:rPr>
          <w:rFonts w:ascii="David" w:hAnsi="David" w:cs="David"/>
          <w:sz w:val="24"/>
          <w:szCs w:val="24"/>
          <w:rtl/>
        </w:rPr>
        <w:t>א'</w:t>
      </w:r>
      <w:r>
        <w:rPr>
          <w:rFonts w:ascii="David" w:hAnsi="David" w:cs="David"/>
          <w:sz w:val="24"/>
          <w:szCs w:val="24"/>
          <w:rtl/>
        </w:rPr>
        <w:t xml:space="preserve"> ועד ליום 15.2.2023 עת עברה </w:t>
      </w:r>
      <w:r w:rsidR="00A949BE">
        <w:rPr>
          <w:rFonts w:ascii="David" w:hAnsi="David" w:cs="David"/>
          <w:sz w:val="24"/>
          <w:szCs w:val="24"/>
          <w:rtl/>
        </w:rPr>
        <w:t>א'</w:t>
      </w:r>
      <w:r>
        <w:rPr>
          <w:rFonts w:ascii="David" w:hAnsi="David" w:cs="David"/>
          <w:sz w:val="24"/>
          <w:szCs w:val="24"/>
          <w:rtl/>
        </w:rPr>
        <w:t xml:space="preserve"> למשמורתה בפועל של האם סך של כ-104,846.50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 xml:space="preserve">האב מעולם לא עדכן את האם בהיקף הקצבאות ששולמו לידו עבור </w:t>
      </w:r>
      <w:r w:rsidR="00A949BE">
        <w:rPr>
          <w:rFonts w:ascii="David" w:hAnsi="David" w:cs="David"/>
          <w:sz w:val="24"/>
          <w:szCs w:val="24"/>
          <w:rtl/>
        </w:rPr>
        <w:t>א'</w:t>
      </w:r>
      <w:r>
        <w:rPr>
          <w:rFonts w:ascii="David" w:hAnsi="David" w:cs="David"/>
          <w:sz w:val="24"/>
          <w:szCs w:val="24"/>
          <w:rtl/>
        </w:rPr>
        <w:t xml:space="preserve"> ולא נתן לה כל מידע ו/או הסבר ו/או דין וחשבון בגין כספים אלה, אשר יועדו עבור </w:t>
      </w:r>
      <w:r w:rsidR="00A949BE">
        <w:rPr>
          <w:rFonts w:ascii="David" w:hAnsi="David" w:cs="David"/>
          <w:sz w:val="24"/>
          <w:szCs w:val="24"/>
          <w:rtl/>
        </w:rPr>
        <w:t>א'</w:t>
      </w:r>
      <w:r>
        <w:rPr>
          <w:rFonts w:ascii="David" w:hAnsi="David" w:cs="David"/>
          <w:sz w:val="24"/>
          <w:szCs w:val="24"/>
          <w:rtl/>
        </w:rPr>
        <w:t xml:space="preserve">, צרכיה והטיפול בה, על-אף שבתקופה זו שהתה </w:t>
      </w:r>
      <w:r w:rsidR="00A949BE">
        <w:rPr>
          <w:rFonts w:ascii="David" w:hAnsi="David" w:cs="David"/>
          <w:sz w:val="24"/>
          <w:szCs w:val="24"/>
          <w:rtl/>
        </w:rPr>
        <w:t>א'</w:t>
      </w:r>
      <w:r>
        <w:rPr>
          <w:rFonts w:ascii="David" w:hAnsi="David" w:cs="David"/>
          <w:sz w:val="24"/>
          <w:szCs w:val="24"/>
          <w:rtl/>
        </w:rPr>
        <w:t xml:space="preserve"> לסירוגין בבית האם והאם נדרשה לממן את צרכיה בזמן בו שהתה עמה.</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כמו כן, נודע לאם כי ל</w:t>
      </w:r>
      <w:r w:rsidR="00A949BE">
        <w:rPr>
          <w:rFonts w:ascii="David" w:hAnsi="David" w:cs="David"/>
          <w:sz w:val="24"/>
          <w:szCs w:val="24"/>
          <w:rtl/>
        </w:rPr>
        <w:t>א'</w:t>
      </w:r>
      <w:r>
        <w:rPr>
          <w:rFonts w:ascii="David" w:hAnsi="David" w:cs="David"/>
          <w:sz w:val="24"/>
          <w:szCs w:val="24"/>
          <w:rtl/>
        </w:rPr>
        <w:t xml:space="preserve"> חובות למסגרת החינוכית בגין שכר לימוד לשנת תשפ"ג, שלא שולם על-אף הסכומים הניכרים ששולמו לידי האב מאת המל"ל עבור צרכיה של </w:t>
      </w:r>
      <w:r w:rsidR="00A949BE">
        <w:rPr>
          <w:rFonts w:ascii="David" w:hAnsi="David" w:cs="David"/>
          <w:sz w:val="24"/>
          <w:szCs w:val="24"/>
          <w:rtl/>
        </w:rPr>
        <w:t>א'</w:t>
      </w:r>
      <w:r>
        <w:rPr>
          <w:rFonts w:ascii="David" w:hAnsi="David" w:cs="David"/>
          <w:sz w:val="24"/>
          <w:szCs w:val="24"/>
          <w:rtl/>
        </w:rPr>
        <w:t>.</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לא ברור כלל מה עשה האב עם הכספים ששולמו לידו עבור </w:t>
      </w:r>
      <w:r w:rsidR="00A949BE">
        <w:rPr>
          <w:rFonts w:ascii="David" w:hAnsi="David" w:cs="David"/>
          <w:sz w:val="24"/>
          <w:szCs w:val="24"/>
          <w:rtl/>
        </w:rPr>
        <w:t>א'</w:t>
      </w:r>
      <w:r>
        <w:rPr>
          <w:rFonts w:ascii="David" w:hAnsi="David" w:cs="David"/>
          <w:sz w:val="24"/>
          <w:szCs w:val="24"/>
          <w:rtl/>
        </w:rPr>
        <w:t xml:space="preserve"> ממועד הגיעה לבגרות ועד שהוצאה מביתו ולא ברור כלל איזּה שימושים עשה בכספים ששולמו מאת המל"ל ו/או כל מידע אחר ביחס לקצבאות ששולמו עבור </w:t>
      </w:r>
      <w:r w:rsidR="00A949BE">
        <w:rPr>
          <w:rFonts w:ascii="David" w:hAnsi="David" w:cs="David"/>
          <w:sz w:val="24"/>
          <w:szCs w:val="24"/>
          <w:rtl/>
        </w:rPr>
        <w:t>א'</w:t>
      </w:r>
      <w:r>
        <w:rPr>
          <w:rFonts w:ascii="David" w:hAnsi="David" w:cs="David"/>
          <w:sz w:val="24"/>
          <w:szCs w:val="24"/>
          <w:rtl/>
        </w:rPr>
        <w:t xml:space="preserve"> מאז הגיעה לבגרות ועד שהוצאה מביתו.</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האב קיבל את קצבת הנכות של </w:t>
      </w:r>
      <w:r w:rsidR="00A949BE">
        <w:rPr>
          <w:rFonts w:ascii="David" w:hAnsi="David" w:cs="David"/>
          <w:sz w:val="24"/>
          <w:szCs w:val="24"/>
          <w:rtl/>
        </w:rPr>
        <w:t>א'</w:t>
      </w:r>
      <w:r>
        <w:rPr>
          <w:rFonts w:ascii="David" w:hAnsi="David" w:cs="David"/>
          <w:sz w:val="24"/>
          <w:szCs w:val="24"/>
          <w:rtl/>
        </w:rPr>
        <w:t xml:space="preserve"> בטרם בגרה והגיעה לגיל 18 ולא מסר לאם כל דין וחשבון ביחס לשימוש בכספי הקצבה גם בטרם הגיעה </w:t>
      </w:r>
      <w:r w:rsidR="00A949BE">
        <w:rPr>
          <w:rFonts w:ascii="David" w:hAnsi="David" w:cs="David"/>
          <w:sz w:val="24"/>
          <w:szCs w:val="24"/>
          <w:rtl/>
        </w:rPr>
        <w:t>א'</w:t>
      </w:r>
      <w:r>
        <w:rPr>
          <w:rFonts w:ascii="David" w:hAnsi="David" w:cs="David"/>
          <w:sz w:val="24"/>
          <w:szCs w:val="24"/>
          <w:rtl/>
        </w:rPr>
        <w:t xml:space="preserve"> לבגרות. </w:t>
      </w:r>
    </w:p>
    <w:p w:rsidR="002901E2" w:rsidRPr="0077456F" w:rsidRDefault="002901E2" w:rsidP="002901E2">
      <w:pPr>
        <w:pStyle w:val="a9"/>
        <w:rPr>
          <w:rFonts w:ascii="David" w:hAnsi="David" w:cs="David"/>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לכשימונה אפוטרופוס של קבע לעניינים הרכושיים, יהא עליו לבחון גם מה נעשה עם הכספים ששולמו עבור </w:t>
      </w:r>
      <w:r w:rsidR="00A949BE">
        <w:rPr>
          <w:rFonts w:ascii="David" w:hAnsi="David" w:cs="David"/>
          <w:sz w:val="24"/>
          <w:szCs w:val="24"/>
          <w:rtl/>
        </w:rPr>
        <w:t>א'</w:t>
      </w:r>
      <w:r>
        <w:rPr>
          <w:rFonts w:ascii="David" w:hAnsi="David" w:cs="David"/>
          <w:sz w:val="24"/>
          <w:szCs w:val="24"/>
          <w:rtl/>
        </w:rPr>
        <w:t xml:space="preserve"> בטרם הגיעה לבגרות, אך עתה מבוקש לצמצם את הבירור אך ורק לכספים ששולמו מאת המל"ל מאז הגיעה </w:t>
      </w:r>
      <w:r w:rsidR="00A949BE">
        <w:rPr>
          <w:rFonts w:ascii="David" w:hAnsi="David" w:cs="David"/>
          <w:sz w:val="24"/>
          <w:szCs w:val="24"/>
          <w:rtl/>
        </w:rPr>
        <w:t>א'</w:t>
      </w:r>
      <w:r>
        <w:rPr>
          <w:rFonts w:ascii="David" w:hAnsi="David" w:cs="David"/>
          <w:sz w:val="24"/>
          <w:szCs w:val="24"/>
          <w:rtl/>
        </w:rPr>
        <w:t xml:space="preserve"> לגיל 18 ועד היום.</w:t>
      </w:r>
    </w:p>
    <w:p w:rsidR="00AF0FB5" w:rsidRDefault="00AF0FB5" w:rsidP="002901E2">
      <w:pPr>
        <w:spacing w:line="360" w:lineRule="auto"/>
        <w:jc w:val="both"/>
        <w:rPr>
          <w:rFonts w:ascii="David" w:hAnsi="David"/>
          <w:b/>
          <w:bCs/>
          <w:u w:val="single"/>
          <w:rtl/>
        </w:rPr>
      </w:pPr>
    </w:p>
    <w:p w:rsidR="002901E2" w:rsidRDefault="002901E2" w:rsidP="002901E2">
      <w:pPr>
        <w:spacing w:line="360" w:lineRule="auto"/>
        <w:jc w:val="both"/>
        <w:rPr>
          <w:rFonts w:ascii="David" w:hAnsi="David"/>
          <w:b/>
          <w:bCs/>
          <w:u w:val="single"/>
          <w:rtl/>
        </w:rPr>
      </w:pPr>
      <w:r>
        <w:rPr>
          <w:rFonts w:ascii="David" w:hAnsi="David"/>
          <w:b/>
          <w:bCs/>
          <w:u w:val="single"/>
          <w:rtl/>
        </w:rPr>
        <w:t>עיקר טענות האב</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דין התביעה להידחות על הסף בהיותה קנטרנית ומשום שהיא נועדה לשמש כחרב וחנית במסגרת מאבק של האם באב ובילדי הצדדים. האינטרסים של </w:t>
      </w:r>
      <w:r w:rsidR="00A949BE">
        <w:rPr>
          <w:rFonts w:ascii="David" w:hAnsi="David" w:cs="David"/>
          <w:sz w:val="24"/>
          <w:szCs w:val="24"/>
          <w:rtl/>
        </w:rPr>
        <w:t>א'</w:t>
      </w:r>
      <w:r>
        <w:rPr>
          <w:rFonts w:ascii="David" w:hAnsi="David" w:cs="David"/>
          <w:sz w:val="24"/>
          <w:szCs w:val="24"/>
          <w:rtl/>
        </w:rPr>
        <w:t xml:space="preserve"> אינם עומדים בפני האם, אלא רצונה להתיש את האב בהליכים משפטיים. האם שתקה על אף ידיעתה בעניין תשלומי הקצבאות, מה שמהווה חוסר תום לב.</w:t>
      </w:r>
    </w:p>
    <w:p w:rsidR="002901E2" w:rsidRDefault="002901E2" w:rsidP="002901E2">
      <w:pPr>
        <w:pStyle w:val="a9"/>
        <w:spacing w:after="0" w:line="360" w:lineRule="auto"/>
        <w:jc w:val="both"/>
        <w:rPr>
          <w:rFonts w:ascii="David" w:hAnsi="David" w:cs="David"/>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דין התביעה להידחות על הסף מחמת העדר יריבות ועילה. התובעת בנסיבות העניין צריכה להיות </w:t>
      </w:r>
      <w:r w:rsidR="00A949BE">
        <w:rPr>
          <w:rFonts w:ascii="David" w:hAnsi="David" w:cs="David"/>
          <w:sz w:val="24"/>
          <w:szCs w:val="24"/>
          <w:rtl/>
        </w:rPr>
        <w:t>א'</w:t>
      </w:r>
      <w:r>
        <w:rPr>
          <w:rFonts w:ascii="David" w:hAnsi="David" w:cs="David"/>
          <w:sz w:val="24"/>
          <w:szCs w:val="24"/>
          <w:rtl/>
        </w:rPr>
        <w:t>, באמצעות האם ולא האם עצמה.</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יש לדחות את התביעה על הסף אף אם היא הייתה מוגשת כדבעי וכאשר </w:t>
      </w:r>
      <w:r w:rsidR="00A949BE">
        <w:rPr>
          <w:rFonts w:ascii="David" w:hAnsi="David" w:cs="David"/>
          <w:sz w:val="24"/>
          <w:szCs w:val="24"/>
          <w:rtl/>
        </w:rPr>
        <w:t>א'</w:t>
      </w:r>
      <w:r>
        <w:rPr>
          <w:rFonts w:ascii="David" w:hAnsi="David" w:cs="David"/>
          <w:sz w:val="24"/>
          <w:szCs w:val="24"/>
          <w:rtl/>
        </w:rPr>
        <w:t xml:space="preserve"> היא התובעת, שהרי האם משמשת רק כאפוטרופסית זמנית ולא קבועה.</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יש לסלק את התביעה על הסף, שהרי האם לא פירטה על בסיס איזו עילה התביעה הוגשה.</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רק מי שמונה בצו להיות אפוטרופוס לכלל ענייניו של אדם או לעניינים רכושיים חייב להגיש פרטה. בנסיבות תיק זה, האב לא מונה בצו ולכן התביעה נעדרת עילה.</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לעומת זאת, האם מונתה כאפוטרופסית בצו, ועליה להגיש פרטה בהתאם להוראות סעיף 53 לחוק הכשרות המשפטית והאפוטרופסות.</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האם אינה מוסמכת אלא כאפוטרופסית בלבד ולא כתובעת. ברור כי האם הגישה את התביעה כתובעת ולא </w:t>
      </w:r>
      <w:r w:rsidR="00A949BE">
        <w:rPr>
          <w:rFonts w:ascii="David" w:hAnsi="David" w:cs="David"/>
          <w:sz w:val="24"/>
          <w:szCs w:val="24"/>
          <w:rtl/>
        </w:rPr>
        <w:t>א'</w:t>
      </w:r>
      <w:r>
        <w:rPr>
          <w:rFonts w:ascii="David" w:hAnsi="David" w:cs="David"/>
          <w:sz w:val="24"/>
          <w:szCs w:val="24"/>
          <w:rtl/>
        </w:rPr>
        <w:t>, ולכן, דינה להיות מסולקת על הסף.</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בכל מקרה, אין לאפשר לאפוטרופוס זמני לנהל תביעה מסוג זה. האב ימונה כאפוטרופוס זמני או קבוע בשלב כזה או אחר ואז הוא יעתור לעצור את ההליך או אף לבטל את פסה"ד שניתן.</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האב מאשר כי הוא קיבל קצבאות מהמל"ל עבור </w:t>
      </w:r>
      <w:r w:rsidR="00A949BE">
        <w:rPr>
          <w:rFonts w:ascii="David" w:hAnsi="David" w:cs="David"/>
          <w:sz w:val="24"/>
          <w:szCs w:val="24"/>
          <w:rtl/>
        </w:rPr>
        <w:t>א'</w:t>
      </w:r>
      <w:r>
        <w:rPr>
          <w:rFonts w:ascii="David" w:hAnsi="David" w:cs="David"/>
          <w:sz w:val="24"/>
          <w:szCs w:val="24"/>
          <w:rtl/>
        </w:rPr>
        <w:t xml:space="preserve"> עת התגוררה אצלו ולא הייתה לו כל חובה לעדכן את האם.</w:t>
      </w:r>
    </w:p>
    <w:p w:rsidR="002901E2" w:rsidRDefault="002901E2" w:rsidP="002901E2">
      <w:pPr>
        <w:pStyle w:val="a9"/>
        <w:spacing w:after="0" w:line="360" w:lineRule="auto"/>
        <w:rPr>
          <w:rFonts w:ascii="David" w:hAnsi="David" w:cs="David"/>
          <w:sz w:val="24"/>
          <w:szCs w:val="24"/>
        </w:rPr>
      </w:pPr>
    </w:p>
    <w:p w:rsidR="002901E2" w:rsidRDefault="00A949BE"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א'</w:t>
      </w:r>
      <w:r w:rsidR="002901E2">
        <w:rPr>
          <w:rFonts w:ascii="David" w:hAnsi="David" w:cs="David"/>
          <w:sz w:val="24"/>
          <w:szCs w:val="24"/>
          <w:rtl/>
        </w:rPr>
        <w:t xml:space="preserve"> שהתה רוב הזמן בבית האב והוצאות הטיפול שלה נפלו על כתפיו. האב לא היה חייב לפרט לאיש מה נעשה עם הכספים.</w:t>
      </w:r>
    </w:p>
    <w:p w:rsidR="002901E2" w:rsidRDefault="002901E2" w:rsidP="002901E2">
      <w:pPr>
        <w:spacing w:line="360" w:lineRule="auto"/>
        <w:jc w:val="both"/>
        <w:rPr>
          <w:rFonts w:ascii="David" w:hAnsi="David"/>
          <w:b/>
          <w:bCs/>
          <w:u w:val="single"/>
          <w:rtl/>
        </w:rPr>
      </w:pPr>
    </w:p>
    <w:p w:rsidR="002901E2" w:rsidRDefault="002901E2" w:rsidP="002901E2">
      <w:pPr>
        <w:spacing w:line="360" w:lineRule="auto"/>
        <w:jc w:val="both"/>
        <w:rPr>
          <w:rFonts w:ascii="David" w:hAnsi="David"/>
          <w:b/>
          <w:bCs/>
          <w:u w:val="single"/>
          <w:rtl/>
        </w:rPr>
      </w:pPr>
      <w:r>
        <w:rPr>
          <w:rFonts w:ascii="David" w:hAnsi="David"/>
          <w:b/>
          <w:bCs/>
          <w:u w:val="single"/>
          <w:rtl/>
        </w:rPr>
        <w:t>דיון והכרעה</w:t>
      </w:r>
    </w:p>
    <w:p w:rsidR="002901E2" w:rsidRDefault="002901E2" w:rsidP="002901E2">
      <w:pPr>
        <w:spacing w:line="360" w:lineRule="auto"/>
        <w:jc w:val="both"/>
        <w:rPr>
          <w:rFonts w:ascii="David" w:hAnsi="David"/>
          <w:u w:val="single"/>
          <w:rtl/>
        </w:rPr>
      </w:pPr>
    </w:p>
    <w:p w:rsidR="002901E2" w:rsidRDefault="002901E2" w:rsidP="002901E2">
      <w:pPr>
        <w:spacing w:line="360" w:lineRule="auto"/>
        <w:jc w:val="both"/>
        <w:rPr>
          <w:rFonts w:ascii="David" w:hAnsi="David"/>
          <w:u w:val="single"/>
          <w:rtl/>
        </w:rPr>
      </w:pPr>
      <w:r>
        <w:rPr>
          <w:rFonts w:ascii="David" w:hAnsi="David"/>
          <w:u w:val="single"/>
          <w:rtl/>
        </w:rPr>
        <w:t>דיון בטענות הסף</w:t>
      </w:r>
    </w:p>
    <w:p w:rsidR="002901E2" w:rsidRDefault="002901E2" w:rsidP="002901E2">
      <w:pPr>
        <w:spacing w:line="360" w:lineRule="auto"/>
        <w:jc w:val="both"/>
        <w:rPr>
          <w:rFonts w:ascii="David" w:hAnsi="David"/>
          <w:b/>
          <w:bCs/>
          <w:u w:val="single"/>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נטען על-ידי האב כי האם "שתקה על אף ידיעתה בעניין תשלומי הקצבאות, מה שמהווה חוסר תום לב מובהק" </w:t>
      </w:r>
      <w:r>
        <w:rPr>
          <w:rFonts w:ascii="David" w:hAnsi="David" w:cs="David"/>
          <w:b/>
          <w:bCs/>
          <w:sz w:val="24"/>
          <w:szCs w:val="24"/>
          <w:rtl/>
        </w:rPr>
        <w:t>ראו: ס' 2 לכתב התביעה</w:t>
      </w:r>
      <w:r>
        <w:rPr>
          <w:rFonts w:ascii="David" w:hAnsi="David" w:cs="David"/>
          <w:sz w:val="24"/>
          <w:szCs w:val="24"/>
          <w:rtl/>
        </w:rPr>
        <w:t xml:space="preserve">. </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דין הטענה להידחות.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האם הבהירה כי רק לאחר קבלת צו המינוי התאפשר לה לקבל גישה לתיק המל"ל ורק אז נודע לה כי קצבאות המל"ל שולמו לחשבון האב </w:t>
      </w:r>
      <w:r>
        <w:rPr>
          <w:rFonts w:ascii="David" w:hAnsi="David" w:cs="David"/>
          <w:b/>
          <w:bCs/>
          <w:sz w:val="24"/>
          <w:szCs w:val="24"/>
          <w:rtl/>
        </w:rPr>
        <w:t>ראו: ס' 22-23 לכתב התביעה</w:t>
      </w:r>
      <w:r>
        <w:rPr>
          <w:rFonts w:ascii="David" w:hAnsi="David" w:cs="David"/>
          <w:sz w:val="24"/>
          <w:szCs w:val="24"/>
          <w:rtl/>
        </w:rPr>
        <w:t xml:space="preserve">. טענה זו הוכחשה על-ידי האב מחוסר ידיעה תוך שהוא אישר כי קצבאות המל"ל שולמו לחשבונו </w:t>
      </w:r>
      <w:r>
        <w:rPr>
          <w:rFonts w:ascii="David" w:hAnsi="David" w:cs="David"/>
          <w:b/>
          <w:bCs/>
          <w:sz w:val="24"/>
          <w:szCs w:val="24"/>
          <w:rtl/>
        </w:rPr>
        <w:t>ראו: ס' 28 לכתב ההגנה</w:t>
      </w:r>
      <w:r>
        <w:rPr>
          <w:rFonts w:ascii="David" w:hAnsi="David" w:cs="David"/>
          <w:sz w:val="24"/>
          <w:szCs w:val="24"/>
          <w:rtl/>
        </w:rPr>
        <w:t>.</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נטען על-ידי האב כי דין התביעה להידחות על הסף מחמת חוסר יריבות </w:t>
      </w:r>
      <w:r>
        <w:rPr>
          <w:rFonts w:ascii="David" w:hAnsi="David" w:cs="David"/>
          <w:b/>
          <w:bCs/>
          <w:sz w:val="24"/>
          <w:szCs w:val="24"/>
          <w:rtl/>
        </w:rPr>
        <w:t>ראו: ס' 3 לכתב ההגנה</w:t>
      </w:r>
      <w:r>
        <w:rPr>
          <w:rFonts w:ascii="David" w:hAnsi="David" w:cs="David"/>
          <w:sz w:val="24"/>
          <w:szCs w:val="24"/>
          <w:rtl/>
        </w:rPr>
        <w:t>.</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 xml:space="preserve">דין הטענה להידחות.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האם הסבירה כי התביעה הוגשה על רקע דרישת ב"כ היועמ"ש להגיש דין וחשבון </w:t>
      </w:r>
      <w:r>
        <w:rPr>
          <w:rFonts w:ascii="David" w:hAnsi="David" w:cs="David"/>
          <w:b/>
          <w:bCs/>
          <w:sz w:val="24"/>
          <w:szCs w:val="24"/>
          <w:rtl/>
        </w:rPr>
        <w:t>ראו: פרוט' עמ' 3 ש' 29-30, עמ' 4 ש' 3-7, 11-12, עמ' 5 ש' 18-20</w:t>
      </w:r>
      <w:r>
        <w:rPr>
          <w:rFonts w:ascii="David" w:hAnsi="David" w:cs="David"/>
          <w:sz w:val="24"/>
          <w:szCs w:val="24"/>
          <w:rtl/>
        </w:rPr>
        <w:t xml:space="preserve">.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בתוך כך, כאשר לא במחלוקת כי מ</w:t>
      </w:r>
      <w:r w:rsidR="00872EFC">
        <w:rPr>
          <w:rFonts w:ascii="David" w:hAnsi="David" w:cs="David" w:hint="cs"/>
          <w:sz w:val="24"/>
          <w:szCs w:val="24"/>
          <w:rtl/>
        </w:rPr>
        <w:t>ה</w:t>
      </w:r>
      <w:r>
        <w:rPr>
          <w:rFonts w:ascii="David" w:hAnsi="David" w:cs="David"/>
          <w:sz w:val="24"/>
          <w:szCs w:val="24"/>
          <w:rtl/>
        </w:rPr>
        <w:t xml:space="preserve">מועד </w:t>
      </w:r>
      <w:r w:rsidR="00872EFC">
        <w:rPr>
          <w:rFonts w:ascii="David" w:hAnsi="David" w:cs="David" w:hint="cs"/>
          <w:sz w:val="24"/>
          <w:szCs w:val="24"/>
          <w:rtl/>
        </w:rPr>
        <w:t xml:space="preserve">בו </w:t>
      </w:r>
      <w:r>
        <w:rPr>
          <w:rFonts w:ascii="David" w:hAnsi="David" w:cs="David"/>
          <w:sz w:val="24"/>
          <w:szCs w:val="24"/>
          <w:rtl/>
        </w:rPr>
        <w:t>הגיע</w:t>
      </w:r>
      <w:r w:rsidR="00872EFC">
        <w:rPr>
          <w:rFonts w:ascii="David" w:hAnsi="David" w:cs="David" w:hint="cs"/>
          <w:sz w:val="24"/>
          <w:szCs w:val="24"/>
          <w:rtl/>
        </w:rPr>
        <w:t>ה</w:t>
      </w:r>
      <w:r>
        <w:rPr>
          <w:rFonts w:ascii="David" w:hAnsi="David" w:cs="David"/>
          <w:sz w:val="24"/>
          <w:szCs w:val="24"/>
          <w:rtl/>
        </w:rPr>
        <w:t xml:space="preserve"> </w:t>
      </w:r>
      <w:r w:rsidR="00A949BE">
        <w:rPr>
          <w:rFonts w:ascii="David" w:hAnsi="David" w:cs="David"/>
          <w:sz w:val="24"/>
          <w:szCs w:val="24"/>
          <w:rtl/>
        </w:rPr>
        <w:t>א'</w:t>
      </w:r>
      <w:r>
        <w:rPr>
          <w:rFonts w:ascii="David" w:hAnsi="David" w:cs="David"/>
          <w:sz w:val="24"/>
          <w:szCs w:val="24"/>
          <w:rtl/>
        </w:rPr>
        <w:t xml:space="preserve"> לגיל הבגרות כל הקצבאות שולמו לחשבון האב </w:t>
      </w:r>
      <w:r>
        <w:rPr>
          <w:rFonts w:ascii="David" w:hAnsi="David" w:cs="David"/>
          <w:b/>
          <w:bCs/>
          <w:sz w:val="24"/>
          <w:szCs w:val="24"/>
          <w:rtl/>
        </w:rPr>
        <w:t>ראו: ס' 18, 28 לכתב ההגנה, פרוט' עמ' 8 ש' 16-17</w:t>
      </w:r>
      <w:r>
        <w:rPr>
          <w:rFonts w:ascii="David" w:hAnsi="David" w:cs="David"/>
          <w:sz w:val="24"/>
          <w:szCs w:val="24"/>
          <w:rtl/>
        </w:rPr>
        <w:t xml:space="preserve"> והאב עשה שימוש בקצבאות </w:t>
      </w:r>
      <w:r>
        <w:rPr>
          <w:rFonts w:ascii="David" w:hAnsi="David" w:cs="David"/>
          <w:b/>
          <w:bCs/>
          <w:sz w:val="24"/>
          <w:szCs w:val="24"/>
          <w:rtl/>
        </w:rPr>
        <w:t>ראו: פרוט' עמ' 9 ש' 29-30</w:t>
      </w:r>
      <w:r>
        <w:rPr>
          <w:rFonts w:ascii="David" w:hAnsi="David" w:cs="David"/>
          <w:sz w:val="24"/>
          <w:szCs w:val="24"/>
          <w:rtl/>
        </w:rPr>
        <w:t xml:space="preserve">, מחובתה של האם – בהיותה האפוטרופסית הזמנית של </w:t>
      </w:r>
      <w:r w:rsidR="00A949BE">
        <w:rPr>
          <w:rFonts w:ascii="David" w:hAnsi="David" w:cs="David"/>
          <w:sz w:val="24"/>
          <w:szCs w:val="24"/>
          <w:rtl/>
        </w:rPr>
        <w:t>א'</w:t>
      </w:r>
      <w:r>
        <w:rPr>
          <w:rFonts w:ascii="David" w:hAnsi="David" w:cs="David"/>
          <w:sz w:val="24"/>
          <w:szCs w:val="24"/>
          <w:rtl/>
        </w:rPr>
        <w:t xml:space="preserve"> – לדרוש מתן מידע ומסמכים ביחס לתקופה שמ</w:t>
      </w:r>
      <w:r w:rsidR="004A6385">
        <w:rPr>
          <w:rFonts w:ascii="David" w:hAnsi="David" w:cs="David" w:hint="cs"/>
          <w:sz w:val="24"/>
          <w:szCs w:val="24"/>
          <w:rtl/>
        </w:rPr>
        <w:t>ה</w:t>
      </w:r>
      <w:r>
        <w:rPr>
          <w:rFonts w:ascii="David" w:hAnsi="David" w:cs="David"/>
          <w:sz w:val="24"/>
          <w:szCs w:val="24"/>
          <w:rtl/>
        </w:rPr>
        <w:t xml:space="preserve">מועד </w:t>
      </w:r>
      <w:r w:rsidR="004A6385">
        <w:rPr>
          <w:rFonts w:ascii="David" w:hAnsi="David" w:cs="David" w:hint="cs"/>
          <w:sz w:val="24"/>
          <w:szCs w:val="24"/>
          <w:rtl/>
        </w:rPr>
        <w:t xml:space="preserve">בו </w:t>
      </w:r>
      <w:r>
        <w:rPr>
          <w:rFonts w:ascii="David" w:hAnsi="David" w:cs="David"/>
          <w:sz w:val="24"/>
          <w:szCs w:val="24"/>
          <w:rtl/>
        </w:rPr>
        <w:t>הגיע</w:t>
      </w:r>
      <w:r w:rsidR="004A6385">
        <w:rPr>
          <w:rFonts w:ascii="David" w:hAnsi="David" w:cs="David" w:hint="cs"/>
          <w:sz w:val="24"/>
          <w:szCs w:val="24"/>
          <w:rtl/>
        </w:rPr>
        <w:t>ה</w:t>
      </w:r>
      <w:r>
        <w:rPr>
          <w:rFonts w:ascii="David" w:hAnsi="David" w:cs="David"/>
          <w:sz w:val="24"/>
          <w:szCs w:val="24"/>
          <w:rtl/>
        </w:rPr>
        <w:t xml:space="preserve"> </w:t>
      </w:r>
      <w:r w:rsidR="00A949BE">
        <w:rPr>
          <w:rFonts w:ascii="David" w:hAnsi="David" w:cs="David"/>
          <w:sz w:val="24"/>
          <w:szCs w:val="24"/>
          <w:rtl/>
        </w:rPr>
        <w:t>א'</w:t>
      </w:r>
      <w:r>
        <w:rPr>
          <w:rFonts w:ascii="David" w:hAnsi="David" w:cs="David"/>
          <w:sz w:val="24"/>
          <w:szCs w:val="24"/>
          <w:rtl/>
        </w:rPr>
        <w:t xml:space="preserve"> לגיל הבגרות ועד לתקופה בו הקצבאות המשיכו להשתלם לחשבון הבנק של האב </w:t>
      </w:r>
      <w:r>
        <w:rPr>
          <w:rFonts w:ascii="David" w:hAnsi="David" w:cs="David"/>
          <w:b/>
          <w:bCs/>
          <w:sz w:val="24"/>
          <w:szCs w:val="24"/>
          <w:rtl/>
        </w:rPr>
        <w:t>ראו: ס' 67 (ד) (א) לחוק</w:t>
      </w:r>
      <w:r>
        <w:rPr>
          <w:rFonts w:ascii="David" w:hAnsi="David" w:cs="David"/>
          <w:sz w:val="24"/>
          <w:szCs w:val="24"/>
          <w:rtl/>
        </w:rPr>
        <w:t xml:space="preserve">, הקובע כי: "אפוטרופוס חייב לפעול בשקידה, במיומנות, במסירות ובלא התרשלות, ולנהוג בתום לב לשמירת עניינו של האדם שהוא אפוטרופסו..." </w:t>
      </w:r>
      <w:r>
        <w:rPr>
          <w:rFonts w:ascii="David" w:hAnsi="David" w:cs="David"/>
          <w:b/>
          <w:bCs/>
          <w:sz w:val="24"/>
          <w:szCs w:val="24"/>
          <w:rtl/>
        </w:rPr>
        <w:t>ראו: פרוט עמ' 11 ש' 6-7</w:t>
      </w:r>
      <w:r>
        <w:rPr>
          <w:rFonts w:ascii="David" w:hAnsi="David" w:cs="David"/>
          <w:sz w:val="24"/>
          <w:szCs w:val="24"/>
          <w:rtl/>
        </w:rPr>
        <w:t>.</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נטען על-ידי האב כי יש לדחות את התביעה על הסף מפני שהאם מונתה כאפוטרופסית זמנית ולא קבועה </w:t>
      </w:r>
      <w:r>
        <w:rPr>
          <w:rFonts w:ascii="David" w:hAnsi="David" w:cs="David"/>
          <w:b/>
          <w:bCs/>
          <w:sz w:val="24"/>
          <w:szCs w:val="24"/>
          <w:rtl/>
        </w:rPr>
        <w:t>ראו: ס' 4-5, 12 לכתב ההגנה</w:t>
      </w:r>
      <w:r>
        <w:rPr>
          <w:rFonts w:ascii="David" w:hAnsi="David" w:cs="David"/>
          <w:sz w:val="24"/>
          <w:szCs w:val="24"/>
          <w:rtl/>
        </w:rPr>
        <w:t xml:space="preserve">.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דין הטענה להידחות.</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spacing w:after="0" w:line="360" w:lineRule="auto"/>
        <w:ind w:left="566"/>
        <w:jc w:val="both"/>
        <w:rPr>
          <w:rFonts w:ascii="David" w:hAnsi="David" w:cs="David"/>
          <w:sz w:val="24"/>
          <w:szCs w:val="24"/>
          <w:rtl/>
        </w:rPr>
      </w:pPr>
      <w:r>
        <w:rPr>
          <w:rFonts w:ascii="David" w:hAnsi="David" w:cs="David"/>
          <w:sz w:val="24"/>
          <w:szCs w:val="24"/>
          <w:u w:val="single"/>
          <w:rtl/>
        </w:rPr>
        <w:t>ראשית</w:t>
      </w:r>
      <w:r>
        <w:rPr>
          <w:rFonts w:ascii="David" w:hAnsi="David" w:cs="David"/>
          <w:sz w:val="24"/>
          <w:szCs w:val="24"/>
          <w:rtl/>
        </w:rPr>
        <w:t>, טענתה זו נדחתה במסגרת התביעה הכספית וכוחם של נימוקי הדחייה שם יפים גם לתביעה זו.</w:t>
      </w:r>
    </w:p>
    <w:p w:rsidR="002901E2" w:rsidRDefault="002901E2" w:rsidP="002901E2">
      <w:pPr>
        <w:pStyle w:val="a9"/>
        <w:spacing w:after="0" w:line="360" w:lineRule="auto"/>
        <w:ind w:left="566"/>
        <w:jc w:val="both"/>
        <w:rPr>
          <w:rFonts w:ascii="David" w:hAnsi="David" w:cs="David"/>
          <w:sz w:val="24"/>
          <w:szCs w:val="24"/>
          <w:rtl/>
        </w:rPr>
      </w:pPr>
    </w:p>
    <w:p w:rsidR="002901E2" w:rsidRDefault="002901E2" w:rsidP="002901E2">
      <w:pPr>
        <w:pStyle w:val="a9"/>
        <w:spacing w:after="0" w:line="360" w:lineRule="auto"/>
        <w:ind w:left="566"/>
        <w:jc w:val="both"/>
        <w:rPr>
          <w:rFonts w:ascii="David" w:hAnsi="David" w:cs="David"/>
          <w:sz w:val="24"/>
          <w:szCs w:val="24"/>
        </w:rPr>
      </w:pPr>
      <w:r>
        <w:rPr>
          <w:rFonts w:ascii="David" w:hAnsi="David" w:cs="David"/>
          <w:sz w:val="24"/>
          <w:szCs w:val="24"/>
          <w:u w:val="single"/>
          <w:rtl/>
        </w:rPr>
        <w:t>שנית</w:t>
      </w:r>
      <w:r>
        <w:rPr>
          <w:rFonts w:ascii="David" w:hAnsi="David" w:cs="David"/>
          <w:sz w:val="24"/>
          <w:szCs w:val="24"/>
          <w:rtl/>
        </w:rPr>
        <w:t xml:space="preserve">, כאשר נשאל האב בחקירה הנגדית האם עדכן את המל"ל כי </w:t>
      </w:r>
      <w:r w:rsidR="00A949BE">
        <w:rPr>
          <w:rFonts w:ascii="David" w:hAnsi="David" w:cs="David"/>
          <w:sz w:val="24"/>
          <w:szCs w:val="24"/>
          <w:rtl/>
        </w:rPr>
        <w:t>א'</w:t>
      </w:r>
      <w:r>
        <w:rPr>
          <w:rFonts w:ascii="David" w:hAnsi="David" w:cs="David"/>
          <w:sz w:val="24"/>
          <w:szCs w:val="24"/>
          <w:rtl/>
        </w:rPr>
        <w:t xml:space="preserve"> יצאה מחזקתו וכי האם מונתה כאפוטרופסית זמנית ל</w:t>
      </w:r>
      <w:r w:rsidR="00A949BE">
        <w:rPr>
          <w:rFonts w:ascii="David" w:hAnsi="David" w:cs="David"/>
          <w:sz w:val="24"/>
          <w:szCs w:val="24"/>
          <w:rtl/>
        </w:rPr>
        <w:t>א'</w:t>
      </w:r>
      <w:r>
        <w:rPr>
          <w:rFonts w:ascii="David" w:hAnsi="David" w:cs="David"/>
          <w:sz w:val="24"/>
          <w:szCs w:val="24"/>
          <w:rtl/>
        </w:rPr>
        <w:t xml:space="preserve"> השיב כי זהו תפקידה של האם </w:t>
      </w:r>
      <w:r>
        <w:rPr>
          <w:rFonts w:ascii="David" w:hAnsi="David" w:cs="David"/>
          <w:b/>
          <w:bCs/>
          <w:sz w:val="24"/>
          <w:szCs w:val="24"/>
          <w:rtl/>
        </w:rPr>
        <w:t>ראו: פרוט' עמ' 8 ש' 20-25</w:t>
      </w:r>
      <w:r>
        <w:rPr>
          <w:rFonts w:ascii="David" w:hAnsi="David" w:cs="David"/>
          <w:sz w:val="24"/>
          <w:szCs w:val="24"/>
          <w:rtl/>
        </w:rPr>
        <w:t>. טענה זו של האב שלפיה על האם – בהיותה אפוטרופסית זמנית – לדאוג להעברת קצבאותיה מהמל"ל לחשבון, סותרת את טענתו כי האם – בהיותה אפוטרופסית זמנית – אינה יכולה לפעול למיצוי זכויותיה של ה</w:t>
      </w:r>
      <w:r w:rsidR="00A949BE">
        <w:rPr>
          <w:rFonts w:ascii="David" w:hAnsi="David" w:cs="David"/>
          <w:sz w:val="24"/>
          <w:szCs w:val="24"/>
          <w:rtl/>
        </w:rPr>
        <w:t>א'</w:t>
      </w:r>
      <w:r>
        <w:rPr>
          <w:rFonts w:ascii="David" w:hAnsi="David" w:cs="David"/>
          <w:sz w:val="24"/>
          <w:szCs w:val="24"/>
          <w:rtl/>
        </w:rPr>
        <w:t xml:space="preserve"> על דרך הגשת תביעה ביחס לאותן הקצבאות.</w:t>
      </w:r>
    </w:p>
    <w:p w:rsidR="002901E2" w:rsidRDefault="002901E2" w:rsidP="002901E2">
      <w:pPr>
        <w:pStyle w:val="a9"/>
        <w:spacing w:after="0" w:line="360" w:lineRule="auto"/>
        <w:ind w:left="566"/>
        <w:jc w:val="both"/>
        <w:rPr>
          <w:rFonts w:ascii="David" w:hAnsi="David" w:cs="David"/>
          <w:sz w:val="24"/>
          <w:szCs w:val="24"/>
          <w:rtl/>
        </w:rPr>
      </w:pPr>
    </w:p>
    <w:p w:rsidR="002901E2" w:rsidRDefault="002901E2" w:rsidP="002901E2">
      <w:pPr>
        <w:pStyle w:val="a9"/>
        <w:spacing w:after="0" w:line="360" w:lineRule="auto"/>
        <w:ind w:left="566"/>
        <w:jc w:val="both"/>
        <w:rPr>
          <w:rFonts w:ascii="David" w:hAnsi="David" w:cs="David"/>
          <w:sz w:val="24"/>
          <w:szCs w:val="24"/>
        </w:rPr>
      </w:pPr>
      <w:r>
        <w:rPr>
          <w:rFonts w:ascii="David" w:hAnsi="David" w:cs="David"/>
          <w:sz w:val="24"/>
          <w:szCs w:val="24"/>
          <w:rtl/>
        </w:rPr>
        <w:t xml:space="preserve">כידוע, כלל ההשתק השיפוטי מונע מבעל דין להעלות טענות סותרות בהליכים שונים </w:t>
      </w:r>
      <w:r>
        <w:rPr>
          <w:rFonts w:ascii="David" w:hAnsi="David" w:cs="David"/>
          <w:b/>
          <w:bCs/>
          <w:sz w:val="24"/>
          <w:szCs w:val="24"/>
          <w:rtl/>
        </w:rPr>
        <w:t>ראו</w:t>
      </w:r>
      <w:r>
        <w:rPr>
          <w:rFonts w:ascii="David" w:hAnsi="David" w:cs="David"/>
          <w:sz w:val="24"/>
          <w:szCs w:val="24"/>
          <w:rtl/>
        </w:rPr>
        <w:t xml:space="preserve">: בע"מ 8943/22 </w:t>
      </w:r>
      <w:r>
        <w:rPr>
          <w:rFonts w:ascii="David" w:hAnsi="David" w:cs="David"/>
          <w:b/>
          <w:bCs/>
          <w:sz w:val="24"/>
          <w:szCs w:val="24"/>
          <w:rtl/>
        </w:rPr>
        <w:t>פלוני נ' פלונית</w:t>
      </w:r>
      <w:r>
        <w:rPr>
          <w:rFonts w:ascii="David" w:hAnsi="David" w:cs="David"/>
          <w:sz w:val="24"/>
          <w:szCs w:val="24"/>
          <w:rtl/>
        </w:rPr>
        <w:t xml:space="preserve"> (15.3.2023) וכלל זה חל ביתר שאת מקום בו בעל דין מעלה טענות עובדתיות סותרת בהליך משפטי אחד.</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נטען על-ידי האב כי יש לסלק את התביעה על הסף מפני שהאם "לא פרטה, בעילות התביעה, על בסיס איזו עילה התביעה הוגשה </w:t>
      </w:r>
      <w:r>
        <w:rPr>
          <w:rFonts w:ascii="David" w:hAnsi="David" w:cs="David"/>
          <w:b/>
          <w:bCs/>
          <w:sz w:val="24"/>
          <w:szCs w:val="24"/>
          <w:rtl/>
        </w:rPr>
        <w:t>ראו: ס' 6 לכתב ההגנה</w:t>
      </w:r>
      <w:r>
        <w:rPr>
          <w:rFonts w:ascii="David" w:hAnsi="David" w:cs="David"/>
          <w:sz w:val="24"/>
          <w:szCs w:val="24"/>
          <w:rtl/>
        </w:rPr>
        <w:t xml:space="preserve">.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 xml:space="preserve">דין הטענה להידחות. </w:t>
      </w:r>
    </w:p>
    <w:p w:rsidR="002901E2" w:rsidRDefault="002901E2" w:rsidP="002901E2">
      <w:pPr>
        <w:pStyle w:val="a9"/>
        <w:spacing w:after="0" w:line="360" w:lineRule="auto"/>
        <w:rPr>
          <w:rFonts w:ascii="David" w:hAnsi="David" w:cs="David"/>
          <w:b/>
          <w:bCs/>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b/>
          <w:bCs/>
          <w:sz w:val="24"/>
          <w:szCs w:val="24"/>
          <w:rtl/>
        </w:rPr>
        <w:t>תקנה 11 (3) לתקנות</w:t>
      </w:r>
      <w:r>
        <w:rPr>
          <w:rFonts w:ascii="David" w:hAnsi="David" w:cs="David"/>
          <w:sz w:val="24"/>
          <w:szCs w:val="24"/>
          <w:rtl/>
        </w:rPr>
        <w:t xml:space="preserve"> מחייבת את התובע </w:t>
      </w:r>
      <w:r>
        <w:rPr>
          <w:rFonts w:ascii="David" w:eastAsia="Times New Roman" w:hAnsi="David" w:cs="David"/>
          <w:sz w:val="24"/>
          <w:szCs w:val="24"/>
          <w:rtl/>
        </w:rPr>
        <w:t>לפרט בחלקו השני של כתב התביעה, את תמצית העובדות הנחוצות לביסוסה של עילת התביעה ומתי נולדה</w:t>
      </w:r>
      <w:r>
        <w:rPr>
          <w:rFonts w:ascii="David" w:hAnsi="David" w:cs="David"/>
          <w:sz w:val="24"/>
          <w:szCs w:val="24"/>
          <w:rtl/>
        </w:rPr>
        <w:t xml:space="preserve">. </w:t>
      </w:r>
      <w:r>
        <w:rPr>
          <w:rFonts w:ascii="David" w:hAnsi="David" w:cs="David"/>
          <w:b/>
          <w:bCs/>
          <w:sz w:val="24"/>
          <w:szCs w:val="24"/>
          <w:rtl/>
        </w:rPr>
        <w:t>תקנה 14 לתקנות</w:t>
      </w:r>
      <w:r>
        <w:rPr>
          <w:rFonts w:ascii="David" w:hAnsi="David" w:cs="David"/>
          <w:sz w:val="24"/>
          <w:szCs w:val="24"/>
          <w:rtl/>
        </w:rPr>
        <w:t xml:space="preserve"> מחייבת את התובע </w:t>
      </w:r>
      <w:r>
        <w:rPr>
          <w:rFonts w:ascii="David" w:eastAsia="Times New Roman" w:hAnsi="David" w:cs="David"/>
          <w:sz w:val="24"/>
          <w:szCs w:val="24"/>
          <w:rtl/>
        </w:rPr>
        <w:t>לפרט בחלקו השלישי של כתב התביעה את העובדות המשמשות יסוד לכתב הטענות וכל מידע נוסף, שתכליתו לסייע בהבהרת המחלוקת ובמיקוד הפלוגתות שבין בעלי הדין</w:t>
      </w:r>
      <w:r>
        <w:rPr>
          <w:rFonts w:ascii="David" w:hAnsi="David" w:cs="David"/>
          <w:sz w:val="24"/>
          <w:szCs w:val="24"/>
          <w:rtl/>
        </w:rPr>
        <w:t>. האם עמדה בדרישת תקנות אלה הן במישור הפרוצדוראלי והן במישור העובדתי ובכתב התביעה הכולל 37 סעיפים, הניחה תשתית עובדתית מבוססת לבירור התביעה.</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נטען על-ידי האב כי רק מי שמונה בצו להיות אפוטרופוס, חייב להגיש פרטה. האב לא מונה בצו ולכן אין כנגדו עילת התביעה </w:t>
      </w:r>
      <w:r>
        <w:rPr>
          <w:rFonts w:ascii="David" w:hAnsi="David" w:cs="David"/>
          <w:b/>
          <w:bCs/>
          <w:sz w:val="24"/>
          <w:szCs w:val="24"/>
          <w:rtl/>
        </w:rPr>
        <w:t>ראו: ס' 6 לכתב ההגנה</w:t>
      </w:r>
      <w:r>
        <w:rPr>
          <w:rFonts w:ascii="David" w:hAnsi="David" w:cs="David"/>
          <w:sz w:val="24"/>
          <w:szCs w:val="24"/>
          <w:rtl/>
        </w:rPr>
        <w:t xml:space="preserve">.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דין טענה זו להידחות.</w:t>
      </w:r>
    </w:p>
    <w:p w:rsidR="002901E2" w:rsidRDefault="002901E2" w:rsidP="002901E2">
      <w:pPr>
        <w:pStyle w:val="a9"/>
        <w:spacing w:after="0" w:line="360" w:lineRule="auto"/>
        <w:ind w:left="566"/>
        <w:jc w:val="both"/>
        <w:rPr>
          <w:rFonts w:ascii="David" w:hAnsi="David" w:cs="David"/>
          <w:sz w:val="24"/>
          <w:szCs w:val="24"/>
        </w:rPr>
      </w:pPr>
    </w:p>
    <w:p w:rsidR="002901E2" w:rsidRDefault="002901E2" w:rsidP="002901E2">
      <w:pPr>
        <w:pStyle w:val="a9"/>
        <w:spacing w:after="0" w:line="360" w:lineRule="auto"/>
        <w:ind w:left="566"/>
        <w:jc w:val="both"/>
        <w:rPr>
          <w:rFonts w:ascii="David" w:hAnsi="David" w:cs="David"/>
          <w:sz w:val="24"/>
          <w:szCs w:val="24"/>
        </w:rPr>
      </w:pPr>
      <w:r>
        <w:rPr>
          <w:rFonts w:ascii="David" w:hAnsi="David" w:cs="David"/>
          <w:sz w:val="24"/>
          <w:szCs w:val="24"/>
          <w:u w:val="single"/>
          <w:rtl/>
        </w:rPr>
        <w:t>ראשית</w:t>
      </w:r>
      <w:r>
        <w:rPr>
          <w:rFonts w:ascii="David" w:hAnsi="David" w:cs="David"/>
          <w:sz w:val="24"/>
          <w:szCs w:val="24"/>
          <w:rtl/>
        </w:rPr>
        <w:t>, במסגרת כתב התביעה, האב לא נדרש להגיש פרטה אלא למסור מידע ומסמכים ביחס לכספי הקצבאות שקיבל. זאת על מנת לאפשר לאם לעמד בדרישת חובת הדיווח ולהגיש פרטה כדין.</w:t>
      </w:r>
    </w:p>
    <w:p w:rsidR="002901E2" w:rsidRDefault="002901E2" w:rsidP="002901E2">
      <w:pPr>
        <w:pStyle w:val="a9"/>
        <w:spacing w:after="0" w:line="360" w:lineRule="auto"/>
        <w:jc w:val="both"/>
        <w:rPr>
          <w:rFonts w:ascii="David" w:hAnsi="David" w:cs="David"/>
          <w:sz w:val="24"/>
          <w:szCs w:val="24"/>
          <w:rtl/>
        </w:rPr>
      </w:pPr>
    </w:p>
    <w:p w:rsidR="002901E2" w:rsidRPr="0077456F" w:rsidRDefault="002901E2" w:rsidP="002901E2">
      <w:pPr>
        <w:pStyle w:val="a9"/>
        <w:spacing w:after="0" w:line="360" w:lineRule="auto"/>
        <w:ind w:left="566"/>
        <w:jc w:val="both"/>
        <w:rPr>
          <w:rFonts w:ascii="David" w:hAnsi="David" w:cs="David"/>
          <w:sz w:val="24"/>
          <w:szCs w:val="24"/>
        </w:rPr>
      </w:pPr>
      <w:r w:rsidRPr="0077456F">
        <w:rPr>
          <w:rFonts w:ascii="David" w:hAnsi="David" w:cs="David"/>
          <w:sz w:val="24"/>
          <w:szCs w:val="24"/>
          <w:u w:val="single"/>
          <w:rtl/>
        </w:rPr>
        <w:t>שנית</w:t>
      </w:r>
      <w:r w:rsidRPr="0077456F">
        <w:rPr>
          <w:rFonts w:ascii="David" w:hAnsi="David" w:cs="David"/>
          <w:sz w:val="24"/>
          <w:szCs w:val="24"/>
          <w:rtl/>
        </w:rPr>
        <w:t xml:space="preserve">, </w:t>
      </w:r>
      <w:r w:rsidRPr="00AF0FB5">
        <w:rPr>
          <w:rFonts w:ascii="David" w:hAnsi="David" w:cs="David" w:hint="cs"/>
          <w:b/>
          <w:bCs/>
          <w:sz w:val="24"/>
          <w:szCs w:val="24"/>
          <w:rtl/>
        </w:rPr>
        <w:t>סעיף 67</w:t>
      </w:r>
      <w:r w:rsidRPr="0077456F">
        <w:rPr>
          <w:rFonts w:ascii="David" w:hAnsi="David" w:cs="David" w:hint="cs"/>
          <w:b/>
          <w:bCs/>
          <w:sz w:val="24"/>
          <w:szCs w:val="24"/>
          <w:rtl/>
        </w:rPr>
        <w:t xml:space="preserve"> לחוק</w:t>
      </w:r>
      <w:r w:rsidRPr="0077456F">
        <w:rPr>
          <w:rFonts w:ascii="David" w:hAnsi="David" w:cs="David" w:hint="cs"/>
          <w:sz w:val="24"/>
          <w:szCs w:val="24"/>
          <w:rtl/>
        </w:rPr>
        <w:t xml:space="preserve"> שכותרתו "</w:t>
      </w:r>
      <w:r w:rsidRPr="0077456F">
        <w:rPr>
          <w:rFonts w:ascii="David" w:hAnsi="David" w:cs="David" w:hint="cs"/>
          <w:b/>
          <w:bCs/>
          <w:sz w:val="24"/>
          <w:szCs w:val="24"/>
          <w:shd w:val="clear" w:color="auto" w:fill="FFFFFF"/>
          <w:rtl/>
        </w:rPr>
        <w:t xml:space="preserve">אפוטרופוס למעשה" </w:t>
      </w:r>
      <w:r w:rsidRPr="0077456F">
        <w:rPr>
          <w:rFonts w:ascii="David" w:hAnsi="David" w:cs="David" w:hint="cs"/>
          <w:sz w:val="24"/>
          <w:szCs w:val="24"/>
          <w:rtl/>
        </w:rPr>
        <w:t>קובע כי:</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spacing w:after="0" w:line="360" w:lineRule="auto"/>
        <w:ind w:left="1133" w:right="1134"/>
        <w:jc w:val="both"/>
        <w:rPr>
          <w:rFonts w:ascii="David" w:hAnsi="David" w:cs="David"/>
          <w:b/>
          <w:bCs/>
          <w:sz w:val="24"/>
          <w:szCs w:val="24"/>
          <w:rtl/>
        </w:rPr>
      </w:pPr>
      <w:r>
        <w:rPr>
          <w:rFonts w:ascii="David" w:hAnsi="David" w:cs="David"/>
          <w:b/>
          <w:bCs/>
          <w:sz w:val="24"/>
          <w:szCs w:val="24"/>
          <w:rtl/>
        </w:rPr>
        <w:t>"מי</w:t>
      </w:r>
      <w:r>
        <w:rPr>
          <w:rFonts w:ascii="David" w:hAnsi="David" w:cs="David"/>
          <w:b/>
          <w:bCs/>
          <w:sz w:val="24"/>
          <w:szCs w:val="24"/>
        </w:rPr>
        <w:t xml:space="preserve"> </w:t>
      </w:r>
      <w:r>
        <w:rPr>
          <w:rFonts w:ascii="David" w:hAnsi="David" w:cs="David"/>
          <w:b/>
          <w:bCs/>
          <w:sz w:val="24"/>
          <w:szCs w:val="24"/>
          <w:rtl/>
        </w:rPr>
        <w:t>שפועל</w:t>
      </w:r>
      <w:r>
        <w:rPr>
          <w:rFonts w:ascii="David" w:hAnsi="David" w:cs="David"/>
          <w:b/>
          <w:bCs/>
          <w:sz w:val="24"/>
          <w:szCs w:val="24"/>
        </w:rPr>
        <w:t xml:space="preserve"> </w:t>
      </w:r>
      <w:r>
        <w:rPr>
          <w:rFonts w:ascii="David" w:hAnsi="David" w:cs="David"/>
          <w:b/>
          <w:bCs/>
          <w:sz w:val="24"/>
          <w:szCs w:val="24"/>
          <w:rtl/>
        </w:rPr>
        <w:t>כאפוטרופוס</w:t>
      </w:r>
      <w:r>
        <w:rPr>
          <w:rFonts w:ascii="David" w:hAnsi="David" w:cs="David"/>
          <w:b/>
          <w:bCs/>
          <w:sz w:val="24"/>
          <w:szCs w:val="24"/>
        </w:rPr>
        <w:t xml:space="preserve">, </w:t>
      </w:r>
      <w:r>
        <w:rPr>
          <w:rFonts w:ascii="David" w:hAnsi="David" w:cs="David"/>
          <w:b/>
          <w:bCs/>
          <w:sz w:val="24"/>
          <w:szCs w:val="24"/>
          <w:rtl/>
        </w:rPr>
        <w:t>חובותיו</w:t>
      </w:r>
      <w:r>
        <w:rPr>
          <w:rFonts w:ascii="David" w:hAnsi="David" w:cs="David"/>
          <w:b/>
          <w:bCs/>
          <w:sz w:val="24"/>
          <w:szCs w:val="24"/>
        </w:rPr>
        <w:t xml:space="preserve"> </w:t>
      </w:r>
      <w:r>
        <w:rPr>
          <w:rFonts w:ascii="David" w:hAnsi="David" w:cs="David"/>
          <w:b/>
          <w:bCs/>
          <w:sz w:val="24"/>
          <w:szCs w:val="24"/>
          <w:rtl/>
        </w:rPr>
        <w:t>ואחריותו</w:t>
      </w:r>
      <w:r>
        <w:rPr>
          <w:rFonts w:ascii="David" w:hAnsi="David" w:cs="David"/>
          <w:b/>
          <w:bCs/>
          <w:sz w:val="24"/>
          <w:szCs w:val="24"/>
        </w:rPr>
        <w:t xml:space="preserve"> </w:t>
      </w:r>
      <w:r>
        <w:rPr>
          <w:rFonts w:ascii="David" w:hAnsi="David" w:cs="David"/>
          <w:b/>
          <w:bCs/>
          <w:sz w:val="24"/>
          <w:szCs w:val="24"/>
          <w:rtl/>
        </w:rPr>
        <w:t>כלפי</w:t>
      </w:r>
      <w:r>
        <w:rPr>
          <w:rFonts w:ascii="David" w:hAnsi="David" w:cs="David"/>
          <w:b/>
          <w:bCs/>
          <w:sz w:val="24"/>
          <w:szCs w:val="24"/>
        </w:rPr>
        <w:t xml:space="preserve"> </w:t>
      </w:r>
      <w:r>
        <w:rPr>
          <w:rFonts w:ascii="David" w:hAnsi="David" w:cs="David"/>
          <w:b/>
          <w:bCs/>
          <w:sz w:val="24"/>
          <w:szCs w:val="24"/>
          <w:rtl/>
        </w:rPr>
        <w:t>אדם</w:t>
      </w:r>
      <w:r>
        <w:rPr>
          <w:rFonts w:ascii="David" w:hAnsi="David" w:cs="David"/>
          <w:b/>
          <w:bCs/>
          <w:sz w:val="24"/>
          <w:szCs w:val="24"/>
        </w:rPr>
        <w:t xml:space="preserve"> </w:t>
      </w:r>
      <w:r>
        <w:rPr>
          <w:rFonts w:ascii="David" w:hAnsi="David" w:cs="David"/>
          <w:b/>
          <w:bCs/>
          <w:sz w:val="24"/>
          <w:szCs w:val="24"/>
          <w:rtl/>
        </w:rPr>
        <w:t>שמונה</w:t>
      </w:r>
      <w:r>
        <w:rPr>
          <w:rFonts w:ascii="David" w:hAnsi="David" w:cs="David"/>
          <w:b/>
          <w:bCs/>
          <w:sz w:val="24"/>
          <w:szCs w:val="24"/>
        </w:rPr>
        <w:t xml:space="preserve"> </w:t>
      </w:r>
      <w:r>
        <w:rPr>
          <w:rFonts w:ascii="David" w:hAnsi="David" w:cs="David"/>
          <w:b/>
          <w:bCs/>
          <w:sz w:val="24"/>
          <w:szCs w:val="24"/>
          <w:rtl/>
        </w:rPr>
        <w:t>לו</w:t>
      </w:r>
      <w:r>
        <w:rPr>
          <w:rFonts w:ascii="David" w:hAnsi="David" w:cs="David"/>
          <w:b/>
          <w:bCs/>
          <w:sz w:val="24"/>
          <w:szCs w:val="24"/>
        </w:rPr>
        <w:t xml:space="preserve"> </w:t>
      </w:r>
      <w:r>
        <w:rPr>
          <w:rFonts w:ascii="David" w:hAnsi="David" w:cs="David"/>
          <w:b/>
          <w:bCs/>
          <w:sz w:val="24"/>
          <w:szCs w:val="24"/>
          <w:rtl/>
        </w:rPr>
        <w:t>אפוטרופוס</w:t>
      </w:r>
      <w:r>
        <w:rPr>
          <w:rFonts w:ascii="David" w:hAnsi="David" w:cs="David"/>
          <w:b/>
          <w:bCs/>
          <w:sz w:val="24"/>
          <w:szCs w:val="24"/>
        </w:rPr>
        <w:t xml:space="preserve"> </w:t>
      </w:r>
      <w:r>
        <w:rPr>
          <w:rFonts w:ascii="David" w:hAnsi="David" w:cs="David"/>
          <w:b/>
          <w:bCs/>
          <w:sz w:val="24"/>
          <w:szCs w:val="24"/>
          <w:rtl/>
        </w:rPr>
        <w:t>או</w:t>
      </w:r>
      <w:r>
        <w:rPr>
          <w:rFonts w:ascii="David" w:hAnsi="David" w:cs="David"/>
          <w:b/>
          <w:bCs/>
          <w:sz w:val="24"/>
          <w:szCs w:val="24"/>
        </w:rPr>
        <w:t xml:space="preserve"> </w:t>
      </w:r>
      <w:r>
        <w:rPr>
          <w:rFonts w:ascii="David" w:hAnsi="David" w:cs="David"/>
          <w:b/>
          <w:bCs/>
          <w:sz w:val="24"/>
          <w:szCs w:val="24"/>
          <w:rtl/>
        </w:rPr>
        <w:t>שבית</w:t>
      </w:r>
      <w:r>
        <w:rPr>
          <w:rFonts w:ascii="David" w:hAnsi="David" w:cs="David"/>
          <w:b/>
          <w:bCs/>
          <w:sz w:val="24"/>
          <w:szCs w:val="24"/>
        </w:rPr>
        <w:t xml:space="preserve"> </w:t>
      </w:r>
      <w:r>
        <w:rPr>
          <w:rFonts w:ascii="David" w:hAnsi="David" w:cs="David"/>
          <w:b/>
          <w:bCs/>
          <w:sz w:val="24"/>
          <w:szCs w:val="24"/>
          <w:rtl/>
        </w:rPr>
        <w:t>המשפט</w:t>
      </w:r>
      <w:r>
        <w:rPr>
          <w:rFonts w:ascii="David" w:hAnsi="David" w:cs="David"/>
          <w:b/>
          <w:bCs/>
          <w:sz w:val="24"/>
          <w:szCs w:val="24"/>
        </w:rPr>
        <w:t xml:space="preserve"> </w:t>
      </w:r>
      <w:r>
        <w:rPr>
          <w:rFonts w:ascii="David" w:hAnsi="David" w:cs="David"/>
          <w:b/>
          <w:bCs/>
          <w:sz w:val="24"/>
          <w:szCs w:val="24"/>
          <w:rtl/>
        </w:rPr>
        <w:t>היה</w:t>
      </w:r>
      <w:r>
        <w:rPr>
          <w:rFonts w:ascii="David" w:hAnsi="David" w:cs="David"/>
          <w:b/>
          <w:bCs/>
          <w:sz w:val="24"/>
          <w:szCs w:val="24"/>
        </w:rPr>
        <w:t xml:space="preserve"> </w:t>
      </w:r>
      <w:r>
        <w:rPr>
          <w:rFonts w:ascii="David" w:hAnsi="David" w:cs="David"/>
          <w:b/>
          <w:bCs/>
          <w:sz w:val="24"/>
          <w:szCs w:val="24"/>
          <w:rtl/>
        </w:rPr>
        <w:t>רשאי</w:t>
      </w:r>
      <w:r>
        <w:rPr>
          <w:rFonts w:ascii="David" w:hAnsi="David" w:cs="David"/>
          <w:b/>
          <w:bCs/>
          <w:sz w:val="24"/>
          <w:szCs w:val="24"/>
        </w:rPr>
        <w:t xml:space="preserve"> </w:t>
      </w:r>
      <w:r>
        <w:rPr>
          <w:rFonts w:ascii="David" w:hAnsi="David" w:cs="David"/>
          <w:b/>
          <w:bCs/>
          <w:sz w:val="24"/>
          <w:szCs w:val="24"/>
          <w:rtl/>
        </w:rPr>
        <w:t>למנות</w:t>
      </w:r>
      <w:r>
        <w:rPr>
          <w:rFonts w:ascii="David" w:hAnsi="David" w:cs="David"/>
          <w:b/>
          <w:bCs/>
          <w:sz w:val="24"/>
          <w:szCs w:val="24"/>
        </w:rPr>
        <w:t xml:space="preserve"> </w:t>
      </w:r>
      <w:r>
        <w:rPr>
          <w:rFonts w:ascii="David" w:hAnsi="David" w:cs="David"/>
          <w:b/>
          <w:bCs/>
          <w:sz w:val="24"/>
          <w:szCs w:val="24"/>
          <w:rtl/>
        </w:rPr>
        <w:t>לו</w:t>
      </w:r>
      <w:r>
        <w:rPr>
          <w:rFonts w:ascii="David" w:hAnsi="David" w:cs="David"/>
          <w:b/>
          <w:bCs/>
          <w:sz w:val="24"/>
          <w:szCs w:val="24"/>
        </w:rPr>
        <w:t xml:space="preserve"> </w:t>
      </w:r>
      <w:r>
        <w:rPr>
          <w:rFonts w:ascii="David" w:hAnsi="David" w:cs="David"/>
          <w:b/>
          <w:bCs/>
          <w:sz w:val="24"/>
          <w:szCs w:val="24"/>
          <w:rtl/>
        </w:rPr>
        <w:t>אפוטרופוס</w:t>
      </w:r>
      <w:r>
        <w:rPr>
          <w:rFonts w:ascii="David" w:hAnsi="David" w:cs="David"/>
          <w:b/>
          <w:bCs/>
          <w:sz w:val="24"/>
          <w:szCs w:val="24"/>
        </w:rPr>
        <w:t xml:space="preserve"> </w:t>
      </w:r>
      <w:r>
        <w:rPr>
          <w:rFonts w:ascii="David" w:hAnsi="David" w:cs="David"/>
          <w:b/>
          <w:bCs/>
          <w:sz w:val="24"/>
          <w:szCs w:val="24"/>
          <w:rtl/>
        </w:rPr>
        <w:t>יהיו</w:t>
      </w:r>
      <w:r>
        <w:rPr>
          <w:rFonts w:ascii="David" w:hAnsi="David" w:cs="David"/>
          <w:b/>
          <w:bCs/>
          <w:sz w:val="24"/>
          <w:szCs w:val="24"/>
        </w:rPr>
        <w:t xml:space="preserve"> </w:t>
      </w:r>
      <w:r>
        <w:rPr>
          <w:rFonts w:ascii="David" w:hAnsi="David" w:cs="David"/>
          <w:b/>
          <w:bCs/>
          <w:sz w:val="24"/>
          <w:szCs w:val="24"/>
          <w:rtl/>
        </w:rPr>
        <w:t>לפי</w:t>
      </w:r>
      <w:r>
        <w:rPr>
          <w:rFonts w:ascii="David" w:hAnsi="David" w:cs="David"/>
          <w:b/>
          <w:bCs/>
          <w:sz w:val="24"/>
          <w:szCs w:val="24"/>
        </w:rPr>
        <w:t xml:space="preserve"> </w:t>
      </w:r>
      <w:r>
        <w:rPr>
          <w:rFonts w:ascii="David" w:hAnsi="David" w:cs="David"/>
          <w:b/>
          <w:bCs/>
          <w:sz w:val="24"/>
          <w:szCs w:val="24"/>
          <w:rtl/>
        </w:rPr>
        <w:t>הוראות</w:t>
      </w:r>
      <w:r>
        <w:rPr>
          <w:rFonts w:ascii="David" w:hAnsi="David" w:cs="David"/>
          <w:b/>
          <w:bCs/>
          <w:sz w:val="24"/>
          <w:szCs w:val="24"/>
        </w:rPr>
        <w:t xml:space="preserve"> </w:t>
      </w:r>
      <w:r>
        <w:rPr>
          <w:rFonts w:ascii="David" w:hAnsi="David" w:cs="David"/>
          <w:b/>
          <w:bCs/>
          <w:sz w:val="24"/>
          <w:szCs w:val="24"/>
          <w:rtl/>
        </w:rPr>
        <w:t>פרק</w:t>
      </w:r>
      <w:r>
        <w:rPr>
          <w:rFonts w:ascii="David" w:hAnsi="David" w:cs="David"/>
          <w:b/>
          <w:bCs/>
          <w:sz w:val="24"/>
          <w:szCs w:val="24"/>
        </w:rPr>
        <w:t xml:space="preserve"> </w:t>
      </w:r>
      <w:r>
        <w:rPr>
          <w:rFonts w:ascii="David" w:hAnsi="David" w:cs="David"/>
          <w:b/>
          <w:bCs/>
          <w:sz w:val="24"/>
          <w:szCs w:val="24"/>
          <w:rtl/>
        </w:rPr>
        <w:t>זה</w:t>
      </w:r>
      <w:r>
        <w:rPr>
          <w:rFonts w:ascii="David" w:hAnsi="David" w:cs="David"/>
          <w:b/>
          <w:bCs/>
          <w:sz w:val="24"/>
          <w:szCs w:val="24"/>
        </w:rPr>
        <w:t xml:space="preserve">, </w:t>
      </w:r>
      <w:r>
        <w:rPr>
          <w:rFonts w:ascii="David" w:hAnsi="David" w:cs="David"/>
          <w:b/>
          <w:bCs/>
          <w:sz w:val="24"/>
          <w:szCs w:val="24"/>
          <w:rtl/>
        </w:rPr>
        <w:t>אף</w:t>
      </w:r>
      <w:r>
        <w:rPr>
          <w:rFonts w:ascii="David" w:hAnsi="David" w:cs="David"/>
          <w:b/>
          <w:bCs/>
          <w:sz w:val="24"/>
          <w:szCs w:val="24"/>
        </w:rPr>
        <w:t xml:space="preserve"> </w:t>
      </w:r>
      <w:r>
        <w:rPr>
          <w:rFonts w:ascii="David" w:hAnsi="David" w:cs="David"/>
          <w:b/>
          <w:bCs/>
          <w:sz w:val="24"/>
          <w:szCs w:val="24"/>
          <w:rtl/>
        </w:rPr>
        <w:t>אם</w:t>
      </w:r>
      <w:r>
        <w:rPr>
          <w:rFonts w:ascii="David" w:hAnsi="David" w:cs="David"/>
          <w:b/>
          <w:bCs/>
          <w:sz w:val="24"/>
          <w:szCs w:val="24"/>
        </w:rPr>
        <w:t xml:space="preserve"> </w:t>
      </w:r>
      <w:r>
        <w:rPr>
          <w:rFonts w:ascii="David" w:hAnsi="David" w:cs="David"/>
          <w:b/>
          <w:bCs/>
          <w:sz w:val="24"/>
          <w:szCs w:val="24"/>
          <w:rtl/>
        </w:rPr>
        <w:t>לא</w:t>
      </w:r>
      <w:r>
        <w:rPr>
          <w:rFonts w:ascii="David" w:hAnsi="David" w:cs="David"/>
          <w:b/>
          <w:bCs/>
          <w:sz w:val="24"/>
          <w:szCs w:val="24"/>
        </w:rPr>
        <w:t xml:space="preserve"> </w:t>
      </w:r>
      <w:r>
        <w:rPr>
          <w:rFonts w:ascii="David" w:hAnsi="David" w:cs="David"/>
          <w:b/>
          <w:bCs/>
          <w:sz w:val="24"/>
          <w:szCs w:val="24"/>
          <w:rtl/>
        </w:rPr>
        <w:t>נתמנה</w:t>
      </w:r>
      <w:r>
        <w:rPr>
          <w:rFonts w:ascii="David" w:hAnsi="David" w:cs="David"/>
          <w:b/>
          <w:bCs/>
          <w:sz w:val="24"/>
          <w:szCs w:val="24"/>
        </w:rPr>
        <w:t xml:space="preserve"> </w:t>
      </w:r>
      <w:r>
        <w:rPr>
          <w:rFonts w:ascii="David" w:hAnsi="David" w:cs="David"/>
          <w:b/>
          <w:bCs/>
          <w:sz w:val="24"/>
          <w:szCs w:val="24"/>
          <w:rtl/>
        </w:rPr>
        <w:t>כלל</w:t>
      </w:r>
      <w:r>
        <w:rPr>
          <w:rFonts w:ascii="David" w:hAnsi="David" w:cs="David"/>
          <w:b/>
          <w:bCs/>
          <w:sz w:val="24"/>
          <w:szCs w:val="24"/>
        </w:rPr>
        <w:t xml:space="preserve"> </w:t>
      </w:r>
      <w:r>
        <w:rPr>
          <w:rFonts w:ascii="David" w:hAnsi="David" w:cs="David"/>
          <w:b/>
          <w:bCs/>
          <w:sz w:val="24"/>
          <w:szCs w:val="24"/>
          <w:rtl/>
        </w:rPr>
        <w:t>או</w:t>
      </w:r>
      <w:r>
        <w:rPr>
          <w:rFonts w:ascii="David" w:hAnsi="David" w:cs="David"/>
          <w:b/>
          <w:bCs/>
          <w:sz w:val="24"/>
          <w:szCs w:val="24"/>
        </w:rPr>
        <w:t xml:space="preserve"> </w:t>
      </w:r>
      <w:r>
        <w:rPr>
          <w:rFonts w:ascii="David" w:hAnsi="David" w:cs="David"/>
          <w:b/>
          <w:bCs/>
          <w:sz w:val="24"/>
          <w:szCs w:val="24"/>
          <w:rtl/>
        </w:rPr>
        <w:t>שהיה</w:t>
      </w:r>
      <w:r>
        <w:rPr>
          <w:rFonts w:ascii="David" w:hAnsi="David" w:cs="David"/>
          <w:b/>
          <w:bCs/>
          <w:sz w:val="24"/>
          <w:szCs w:val="24"/>
        </w:rPr>
        <w:t xml:space="preserve"> </w:t>
      </w:r>
      <w:r>
        <w:rPr>
          <w:rFonts w:ascii="David" w:hAnsi="David" w:cs="David"/>
          <w:b/>
          <w:bCs/>
          <w:sz w:val="24"/>
          <w:szCs w:val="24"/>
          <w:rtl/>
        </w:rPr>
        <w:t>פגם</w:t>
      </w:r>
      <w:r>
        <w:rPr>
          <w:rFonts w:ascii="David" w:hAnsi="David" w:cs="David"/>
          <w:b/>
          <w:bCs/>
          <w:sz w:val="24"/>
          <w:szCs w:val="24"/>
        </w:rPr>
        <w:t xml:space="preserve"> </w:t>
      </w:r>
      <w:r>
        <w:rPr>
          <w:rFonts w:ascii="David" w:hAnsi="David" w:cs="David"/>
          <w:b/>
          <w:bCs/>
          <w:sz w:val="24"/>
          <w:szCs w:val="24"/>
          <w:rtl/>
        </w:rPr>
        <w:t>במינויו</w:t>
      </w:r>
      <w:r>
        <w:rPr>
          <w:rFonts w:ascii="David" w:hAnsi="David" w:cs="David"/>
          <w:b/>
          <w:bCs/>
          <w:sz w:val="24"/>
          <w:szCs w:val="24"/>
        </w:rPr>
        <w:t xml:space="preserve"> </w:t>
      </w:r>
      <w:r>
        <w:rPr>
          <w:rFonts w:ascii="David" w:hAnsi="David" w:cs="David"/>
          <w:b/>
          <w:bCs/>
          <w:sz w:val="24"/>
          <w:szCs w:val="24"/>
          <w:rtl/>
        </w:rPr>
        <w:t>או</w:t>
      </w:r>
      <w:r>
        <w:rPr>
          <w:rFonts w:ascii="David" w:hAnsi="David" w:cs="David"/>
          <w:b/>
          <w:bCs/>
          <w:sz w:val="24"/>
          <w:szCs w:val="24"/>
        </w:rPr>
        <w:t xml:space="preserve"> </w:t>
      </w:r>
      <w:r>
        <w:rPr>
          <w:rFonts w:ascii="David" w:hAnsi="David" w:cs="David"/>
          <w:b/>
          <w:bCs/>
          <w:sz w:val="24"/>
          <w:szCs w:val="24"/>
          <w:rtl/>
        </w:rPr>
        <w:t>שהתפטר</w:t>
      </w:r>
      <w:r>
        <w:rPr>
          <w:rFonts w:ascii="David" w:hAnsi="David" w:cs="David"/>
          <w:b/>
          <w:bCs/>
          <w:sz w:val="24"/>
          <w:szCs w:val="24"/>
        </w:rPr>
        <w:t xml:space="preserve"> </w:t>
      </w:r>
      <w:r>
        <w:rPr>
          <w:rFonts w:ascii="David" w:hAnsi="David" w:cs="David"/>
          <w:b/>
          <w:bCs/>
          <w:sz w:val="24"/>
          <w:szCs w:val="24"/>
          <w:rtl/>
        </w:rPr>
        <w:t>או</w:t>
      </w:r>
      <w:r>
        <w:rPr>
          <w:rFonts w:ascii="David" w:hAnsi="David" w:cs="David"/>
          <w:b/>
          <w:bCs/>
          <w:sz w:val="24"/>
          <w:szCs w:val="24"/>
        </w:rPr>
        <w:t xml:space="preserve"> </w:t>
      </w:r>
      <w:r>
        <w:rPr>
          <w:rFonts w:ascii="David" w:hAnsi="David" w:cs="David"/>
          <w:b/>
          <w:bCs/>
          <w:sz w:val="24"/>
          <w:szCs w:val="24"/>
          <w:rtl/>
        </w:rPr>
        <w:t>פוטר</w:t>
      </w:r>
      <w:r>
        <w:rPr>
          <w:rFonts w:ascii="David" w:hAnsi="David" w:cs="David"/>
          <w:b/>
          <w:bCs/>
          <w:sz w:val="24"/>
          <w:szCs w:val="24"/>
        </w:rPr>
        <w:t xml:space="preserve"> </w:t>
      </w:r>
      <w:r>
        <w:rPr>
          <w:rFonts w:ascii="David" w:hAnsi="David" w:cs="David"/>
          <w:b/>
          <w:bCs/>
          <w:sz w:val="24"/>
          <w:szCs w:val="24"/>
          <w:rtl/>
        </w:rPr>
        <w:t>או</w:t>
      </w:r>
      <w:r>
        <w:rPr>
          <w:rFonts w:ascii="David" w:hAnsi="David" w:cs="David"/>
          <w:b/>
          <w:bCs/>
          <w:sz w:val="24"/>
          <w:szCs w:val="24"/>
        </w:rPr>
        <w:t xml:space="preserve"> </w:t>
      </w:r>
      <w:r>
        <w:rPr>
          <w:rFonts w:ascii="David" w:hAnsi="David" w:cs="David"/>
          <w:b/>
          <w:bCs/>
          <w:sz w:val="24"/>
          <w:szCs w:val="24"/>
          <w:rtl/>
        </w:rPr>
        <w:t>שפקעה</w:t>
      </w:r>
      <w:r>
        <w:rPr>
          <w:rFonts w:ascii="David" w:hAnsi="David" w:cs="David"/>
          <w:b/>
          <w:bCs/>
          <w:sz w:val="24"/>
          <w:szCs w:val="24"/>
        </w:rPr>
        <w:t xml:space="preserve"> </w:t>
      </w:r>
      <w:r>
        <w:rPr>
          <w:rFonts w:ascii="David" w:hAnsi="David" w:cs="David"/>
          <w:b/>
          <w:bCs/>
          <w:sz w:val="24"/>
          <w:szCs w:val="24"/>
          <w:rtl/>
        </w:rPr>
        <w:t>אפוטרופסותו</w:t>
      </w:r>
      <w:r>
        <w:rPr>
          <w:rFonts w:ascii="David" w:hAnsi="David" w:cs="David"/>
          <w:b/>
          <w:bCs/>
          <w:sz w:val="24"/>
          <w:szCs w:val="24"/>
        </w:rPr>
        <w:t>".</w:t>
      </w:r>
    </w:p>
    <w:p w:rsidR="002901E2" w:rsidRDefault="002901E2" w:rsidP="002901E2">
      <w:pPr>
        <w:pStyle w:val="a9"/>
        <w:spacing w:after="0" w:line="360" w:lineRule="auto"/>
        <w:rPr>
          <w:rFonts w:ascii="David" w:hAnsi="David" w:cs="David"/>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נקבע בפסיקה כי "..."</w:t>
      </w:r>
      <w:r>
        <w:rPr>
          <w:rFonts w:ascii="David" w:hAnsi="David" w:cs="David"/>
          <w:i/>
          <w:iCs/>
          <w:sz w:val="24"/>
          <w:szCs w:val="24"/>
          <w:rtl/>
        </w:rPr>
        <w:t>אפוטרופוס למעשה" לפי סעיף 67 לחוק הוא "מעין אפוטרופוס" שמינה כביכול את עצמו, שעליו נאמר "נוטל שררה לעצמו ונוהג מנהג אפוטרופוס" (ע"א 7805/02 הלפרט נ' אסותא מרכזים רפואיים, פ"ד נח (6) 847: ע"א 8/74 לייזרוביץ נ' לייזרוביץ, פ"ד כח(2) 436, 441</w:t>
      </w:r>
      <w:r>
        <w:rPr>
          <w:rFonts w:ascii="David" w:hAnsi="David" w:cs="David"/>
          <w:sz w:val="24"/>
          <w:szCs w:val="24"/>
          <w:rtl/>
        </w:rPr>
        <w:t xml:space="preserve">" </w:t>
      </w:r>
      <w:r>
        <w:rPr>
          <w:rFonts w:ascii="David" w:hAnsi="David" w:cs="David"/>
          <w:b/>
          <w:bCs/>
          <w:sz w:val="24"/>
          <w:szCs w:val="24"/>
          <w:rtl/>
        </w:rPr>
        <w:t>ראו</w:t>
      </w:r>
      <w:r>
        <w:rPr>
          <w:rFonts w:ascii="David" w:hAnsi="David" w:cs="David"/>
          <w:sz w:val="24"/>
          <w:szCs w:val="24"/>
          <w:rtl/>
        </w:rPr>
        <w:t xml:space="preserve">: עמ"ש 53349-01-12 </w:t>
      </w:r>
      <w:r>
        <w:rPr>
          <w:rFonts w:ascii="David" w:hAnsi="David" w:cs="David"/>
          <w:b/>
          <w:bCs/>
          <w:sz w:val="24"/>
          <w:szCs w:val="24"/>
          <w:rtl/>
        </w:rPr>
        <w:t xml:space="preserve">ר.נ. נ' ר.נ. </w:t>
      </w:r>
      <w:r>
        <w:rPr>
          <w:rFonts w:ascii="David" w:hAnsi="David" w:cs="David"/>
          <w:sz w:val="24"/>
          <w:szCs w:val="24"/>
          <w:rtl/>
        </w:rPr>
        <w:t>(8.5.2012).</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בפסיקה טרם נקבע באופן חד משמעי מתי ייחשב אדם כאפוטרופוס למעשה </w:t>
      </w:r>
      <w:r>
        <w:rPr>
          <w:rFonts w:ascii="David" w:hAnsi="David" w:cs="David"/>
          <w:b/>
          <w:bCs/>
          <w:sz w:val="24"/>
          <w:szCs w:val="24"/>
          <w:rtl/>
        </w:rPr>
        <w:t>השוו</w:t>
      </w:r>
      <w:r>
        <w:rPr>
          <w:rFonts w:ascii="David" w:hAnsi="David" w:cs="David"/>
          <w:sz w:val="24"/>
          <w:szCs w:val="24"/>
          <w:rtl/>
        </w:rPr>
        <w:t xml:space="preserve">: ע"א 8/74 </w:t>
      </w:r>
      <w:r>
        <w:rPr>
          <w:rFonts w:ascii="David" w:hAnsi="David" w:cs="David"/>
          <w:b/>
          <w:bCs/>
          <w:sz w:val="24"/>
          <w:szCs w:val="24"/>
          <w:rtl/>
        </w:rPr>
        <w:t>לייזרוביץ נ' לייזרוביץ</w:t>
      </w:r>
      <w:r>
        <w:rPr>
          <w:rFonts w:ascii="David" w:hAnsi="David" w:cs="David"/>
          <w:sz w:val="24"/>
          <w:szCs w:val="24"/>
          <w:rtl/>
        </w:rPr>
        <w:t xml:space="preserve"> פ"ד כח(2) 436, 440 (1974) ובהיעדר תשובה חד משמעית בעניין זה יש לבחון כל מקרה ומקרה לפי נסיבותיו </w:t>
      </w:r>
      <w:r>
        <w:rPr>
          <w:rFonts w:ascii="David" w:hAnsi="David" w:cs="David"/>
          <w:b/>
          <w:bCs/>
          <w:sz w:val="24"/>
          <w:szCs w:val="24"/>
          <w:rtl/>
        </w:rPr>
        <w:t>ראו</w:t>
      </w:r>
      <w:r>
        <w:rPr>
          <w:rFonts w:ascii="David" w:hAnsi="David" w:cs="David"/>
          <w:sz w:val="24"/>
          <w:szCs w:val="24"/>
          <w:rtl/>
        </w:rPr>
        <w:t xml:space="preserve">: בע"מ 4513/12 </w:t>
      </w:r>
      <w:r>
        <w:rPr>
          <w:rFonts w:ascii="David" w:hAnsi="David" w:cs="David"/>
          <w:b/>
          <w:bCs/>
          <w:sz w:val="24"/>
          <w:szCs w:val="24"/>
          <w:rtl/>
        </w:rPr>
        <w:t>פלונית נ' פלונית</w:t>
      </w:r>
      <w:r>
        <w:rPr>
          <w:rFonts w:ascii="David" w:hAnsi="David" w:cs="David"/>
          <w:sz w:val="24"/>
          <w:szCs w:val="24"/>
          <w:rtl/>
        </w:rPr>
        <w:t xml:space="preserve"> (2.12.2012).</w:t>
      </w:r>
    </w:p>
    <w:p w:rsidR="002901E2" w:rsidRDefault="002901E2" w:rsidP="002901E2">
      <w:pPr>
        <w:pStyle w:val="a9"/>
        <w:spacing w:after="0" w:line="360" w:lineRule="auto"/>
        <w:rPr>
          <w:rFonts w:ascii="David" w:hAnsi="David" w:cs="David"/>
          <w:sz w:val="24"/>
          <w:szCs w:val="24"/>
        </w:rPr>
      </w:pPr>
    </w:p>
    <w:p w:rsidR="002901E2" w:rsidRDefault="002901E2" w:rsidP="008F03EC">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 xml:space="preserve">במקרה שלפניי אין מחלוקת עובדתית כי </w:t>
      </w:r>
      <w:r w:rsidR="00A949BE">
        <w:rPr>
          <w:rFonts w:ascii="David" w:hAnsi="David" w:cs="David"/>
          <w:sz w:val="24"/>
          <w:szCs w:val="24"/>
          <w:rtl/>
        </w:rPr>
        <w:t>א'</w:t>
      </w:r>
      <w:r>
        <w:rPr>
          <w:rFonts w:ascii="David" w:hAnsi="David" w:cs="David"/>
          <w:sz w:val="24"/>
          <w:szCs w:val="24"/>
          <w:rtl/>
        </w:rPr>
        <w:t xml:space="preserve"> הייתה במשמורתו של האב לפני שבגרה. עם הגיע </w:t>
      </w:r>
      <w:r w:rsidR="00A949BE">
        <w:rPr>
          <w:rFonts w:ascii="David" w:hAnsi="David" w:cs="David"/>
          <w:sz w:val="24"/>
          <w:szCs w:val="24"/>
          <w:rtl/>
        </w:rPr>
        <w:t>א'</w:t>
      </w:r>
      <w:r>
        <w:rPr>
          <w:rFonts w:ascii="David" w:hAnsi="David" w:cs="David"/>
          <w:sz w:val="24"/>
          <w:szCs w:val="24"/>
          <w:rtl/>
        </w:rPr>
        <w:t xml:space="preserve"> לגיל הבגרות ביום </w:t>
      </w:r>
      <w:r w:rsidR="008F03EC">
        <w:rPr>
          <w:rFonts w:ascii="David" w:hAnsi="David" w:cs="David" w:hint="cs"/>
          <w:sz w:val="24"/>
          <w:szCs w:val="24"/>
          <w:rtl/>
        </w:rPr>
        <w:t>00</w:t>
      </w:r>
      <w:r>
        <w:rPr>
          <w:rFonts w:ascii="David" w:hAnsi="David" w:cs="David"/>
          <w:sz w:val="24"/>
          <w:szCs w:val="24"/>
          <w:rtl/>
        </w:rPr>
        <w:t>.</w:t>
      </w:r>
      <w:r w:rsidR="008F03EC">
        <w:rPr>
          <w:rFonts w:ascii="David" w:hAnsi="David" w:cs="David" w:hint="cs"/>
          <w:sz w:val="24"/>
          <w:szCs w:val="24"/>
          <w:rtl/>
        </w:rPr>
        <w:t>00</w:t>
      </w:r>
      <w:r>
        <w:rPr>
          <w:rFonts w:ascii="David" w:hAnsi="David" w:cs="David"/>
          <w:sz w:val="24"/>
          <w:szCs w:val="24"/>
          <w:rtl/>
        </w:rPr>
        <w:t xml:space="preserve">.22, היא המשיכה לשהות בבית האב וזאת עד ליום 15.2.23 בו היא עברה להתגורר בבית האם, כאשר בתקופה שבין שני מועדים אלה כל הקצבאות בגין </w:t>
      </w:r>
      <w:r w:rsidR="00A949BE">
        <w:rPr>
          <w:rFonts w:ascii="David" w:hAnsi="David" w:cs="David"/>
          <w:sz w:val="24"/>
          <w:szCs w:val="24"/>
          <w:rtl/>
        </w:rPr>
        <w:t>א'</w:t>
      </w:r>
      <w:r>
        <w:rPr>
          <w:rFonts w:ascii="David" w:hAnsi="David" w:cs="David"/>
          <w:sz w:val="24"/>
          <w:szCs w:val="24"/>
          <w:rtl/>
        </w:rPr>
        <w:t xml:space="preserve"> שולמו לידי האב והוא זה שדאג כל צרכיה של </w:t>
      </w:r>
      <w:r w:rsidR="00A949BE">
        <w:rPr>
          <w:rFonts w:ascii="David" w:hAnsi="David" w:cs="David"/>
          <w:sz w:val="24"/>
          <w:szCs w:val="24"/>
          <w:rtl/>
        </w:rPr>
        <w:t>א'</w:t>
      </w:r>
      <w:r>
        <w:rPr>
          <w:rFonts w:ascii="David" w:hAnsi="David" w:cs="David"/>
          <w:sz w:val="24"/>
          <w:szCs w:val="24"/>
          <w:rtl/>
        </w:rPr>
        <w:t>.</w:t>
      </w:r>
    </w:p>
    <w:p w:rsidR="002901E2" w:rsidRDefault="002901E2" w:rsidP="002901E2">
      <w:pPr>
        <w:pStyle w:val="a9"/>
        <w:spacing w:after="0" w:line="360" w:lineRule="auto"/>
        <w:rPr>
          <w:rFonts w:ascii="David" w:hAnsi="David" w:cs="David"/>
          <w:sz w:val="24"/>
          <w:szCs w:val="24"/>
        </w:rPr>
      </w:pPr>
    </w:p>
    <w:p w:rsidR="002901E2" w:rsidRDefault="002901E2" w:rsidP="00F27AAD">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בנסיבות אלה יש לראות את האב כאפוטרופוס למעשה של </w:t>
      </w:r>
      <w:r w:rsidR="00A949BE">
        <w:rPr>
          <w:rFonts w:ascii="David" w:hAnsi="David" w:cs="David"/>
          <w:sz w:val="24"/>
          <w:szCs w:val="24"/>
          <w:rtl/>
        </w:rPr>
        <w:t>א'</w:t>
      </w:r>
      <w:r>
        <w:rPr>
          <w:rFonts w:ascii="David" w:hAnsi="David" w:cs="David"/>
          <w:sz w:val="24"/>
          <w:szCs w:val="24"/>
          <w:rtl/>
        </w:rPr>
        <w:t xml:space="preserve"> ביחס לתקופה שמיום </w:t>
      </w:r>
      <w:r w:rsidR="00F27AAD">
        <w:rPr>
          <w:rFonts w:ascii="David" w:hAnsi="David" w:cs="David" w:hint="cs"/>
          <w:sz w:val="24"/>
          <w:szCs w:val="24"/>
          <w:rtl/>
        </w:rPr>
        <w:t>00</w:t>
      </w:r>
      <w:r>
        <w:rPr>
          <w:rFonts w:ascii="David" w:hAnsi="David" w:cs="David"/>
          <w:sz w:val="24"/>
          <w:szCs w:val="24"/>
          <w:rtl/>
        </w:rPr>
        <w:t>.</w:t>
      </w:r>
      <w:r w:rsidR="00F27AAD">
        <w:rPr>
          <w:rFonts w:ascii="David" w:hAnsi="David" w:cs="David" w:hint="cs"/>
          <w:sz w:val="24"/>
          <w:szCs w:val="24"/>
          <w:rtl/>
        </w:rPr>
        <w:t>00</w:t>
      </w:r>
      <w:r>
        <w:rPr>
          <w:rFonts w:ascii="David" w:hAnsi="David" w:cs="David"/>
          <w:sz w:val="24"/>
          <w:szCs w:val="24"/>
          <w:rtl/>
        </w:rPr>
        <w:t>.22 ועד ליום 15.2.23.</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נקבע כי "מי שפועל כאפוטרופוס - חובותיו ואחריותו כלפי החסוי יהיו לפי הוראות פרק זה, אף אם לא נתמנה כלל" </w:t>
      </w:r>
      <w:r>
        <w:rPr>
          <w:rFonts w:ascii="David" w:hAnsi="David" w:cs="David"/>
          <w:b/>
          <w:bCs/>
          <w:sz w:val="24"/>
          <w:szCs w:val="24"/>
          <w:rtl/>
        </w:rPr>
        <w:t>ראו</w:t>
      </w:r>
      <w:r>
        <w:rPr>
          <w:rFonts w:ascii="David" w:hAnsi="David" w:cs="David"/>
          <w:sz w:val="24"/>
          <w:szCs w:val="24"/>
          <w:rtl/>
        </w:rPr>
        <w:t xml:space="preserve">: ע"א 7805/02 </w:t>
      </w:r>
      <w:r>
        <w:rPr>
          <w:rFonts w:ascii="David" w:hAnsi="David" w:cs="David"/>
          <w:b/>
          <w:bCs/>
          <w:sz w:val="24"/>
          <w:szCs w:val="24"/>
          <w:rtl/>
        </w:rPr>
        <w:t>הלפרט נ' אסותא מרכזים רפואיים בע"מ</w:t>
      </w:r>
      <w:r>
        <w:rPr>
          <w:rFonts w:ascii="David" w:hAnsi="David" w:cs="David"/>
          <w:sz w:val="24"/>
          <w:szCs w:val="24"/>
          <w:rtl/>
        </w:rPr>
        <w:t xml:space="preserve"> (2.8.2004); בע"מ 4513/12 לעיל.</w:t>
      </w:r>
    </w:p>
    <w:p w:rsidR="002901E2" w:rsidRDefault="002901E2" w:rsidP="002901E2">
      <w:pPr>
        <w:pStyle w:val="a9"/>
        <w:spacing w:after="0" w:line="360" w:lineRule="auto"/>
        <w:rPr>
          <w:rFonts w:ascii="David" w:hAnsi="David" w:cs="David"/>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b/>
          <w:bCs/>
          <w:sz w:val="24"/>
          <w:szCs w:val="24"/>
          <w:rtl/>
        </w:rPr>
        <w:t xml:space="preserve">ס' 44 לחוק </w:t>
      </w:r>
      <w:r>
        <w:rPr>
          <w:rFonts w:ascii="David" w:hAnsi="David" w:cs="David"/>
          <w:sz w:val="24"/>
          <w:szCs w:val="24"/>
          <w:rtl/>
        </w:rPr>
        <w:t xml:space="preserve">קובע, בין היתר, כי: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spacing w:after="0" w:line="360" w:lineRule="auto"/>
        <w:ind w:left="1133" w:right="1134"/>
        <w:jc w:val="both"/>
        <w:rPr>
          <w:rFonts w:ascii="David" w:hAnsi="David" w:cs="David"/>
          <w:sz w:val="24"/>
          <w:szCs w:val="24"/>
          <w:rtl/>
        </w:rPr>
      </w:pPr>
      <w:r>
        <w:rPr>
          <w:rFonts w:ascii="David" w:hAnsi="David" w:cs="David"/>
          <w:b/>
          <w:bCs/>
          <w:sz w:val="24"/>
          <w:szCs w:val="24"/>
          <w:rtl/>
        </w:rPr>
        <w:t xml:space="preserve">"בית המשפט רשאי, בכל עת, לבקשתו של האדם שמונה לו אפוטרופוס, האפוטרופוס או של היועץ המשפטי לממשלה או בא-כוחו או של צד מעונין ואף מיזמתו הוא, לתת לאפוטרופוס הוראות בכל ענין הנוגע למילוי תפקידו" </w:t>
      </w:r>
    </w:p>
    <w:p w:rsidR="002901E2" w:rsidRDefault="002901E2" w:rsidP="002901E2">
      <w:pPr>
        <w:pStyle w:val="a9"/>
        <w:spacing w:after="0" w:line="360" w:lineRule="auto"/>
        <w:ind w:left="1133" w:right="1134"/>
        <w:jc w:val="both"/>
        <w:rPr>
          <w:rFonts w:ascii="David" w:hAnsi="David" w:cs="David"/>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לטעמי, הוראה זו מסמיכה את בית המשפט ליתן הוראות גם לאפוטרופוס למעשה בגין התקופה בה שימש בתפקיד זה. </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הבקשה הוגשה על-ידי האם, אשר מותנה כאפוטרופסה זמנית ל</w:t>
      </w:r>
      <w:r w:rsidR="00A949BE">
        <w:rPr>
          <w:rFonts w:ascii="David" w:hAnsi="David" w:cs="David"/>
          <w:sz w:val="24"/>
          <w:szCs w:val="24"/>
          <w:rtl/>
        </w:rPr>
        <w:t>א'</w:t>
      </w:r>
      <w:r>
        <w:rPr>
          <w:rFonts w:ascii="David" w:hAnsi="David" w:cs="David"/>
          <w:sz w:val="24"/>
          <w:szCs w:val="24"/>
          <w:rtl/>
        </w:rPr>
        <w:t xml:space="preserve"> ודי בהוראת דין זו כדי לדחות את כל הטענת האב כי לא ניתן לחייבו להמציא מסמכים בגין התקופה בה שימש אפוטרופוס למעשה ל</w:t>
      </w:r>
      <w:r w:rsidR="00A949BE">
        <w:rPr>
          <w:rFonts w:ascii="David" w:hAnsi="David" w:cs="David"/>
          <w:sz w:val="24"/>
          <w:szCs w:val="24"/>
          <w:rtl/>
        </w:rPr>
        <w:t>א'</w:t>
      </w:r>
      <w:r>
        <w:rPr>
          <w:rFonts w:ascii="David" w:hAnsi="David" w:cs="David"/>
          <w:sz w:val="24"/>
          <w:szCs w:val="24"/>
          <w:rtl/>
        </w:rPr>
        <w:t xml:space="preserve">, כאשר האב – בהיותו האפוטרופוס למעשה – "...חייב, בכל עניני האפוטרופסות, לנהל חשבונות, להגיש לאפוטרופוס הכללי דין וחשבון כפי שיורה" </w:t>
      </w:r>
      <w:r>
        <w:rPr>
          <w:rFonts w:ascii="David" w:hAnsi="David" w:cs="David"/>
          <w:b/>
          <w:bCs/>
          <w:sz w:val="24"/>
          <w:szCs w:val="24"/>
          <w:rtl/>
        </w:rPr>
        <w:t>ראו</w:t>
      </w:r>
      <w:r>
        <w:rPr>
          <w:rFonts w:ascii="David" w:hAnsi="David" w:cs="David"/>
          <w:sz w:val="24"/>
          <w:szCs w:val="24"/>
          <w:rtl/>
        </w:rPr>
        <w:t xml:space="preserve">: </w:t>
      </w:r>
      <w:r>
        <w:rPr>
          <w:rFonts w:ascii="David" w:hAnsi="David" w:cs="David"/>
          <w:b/>
          <w:bCs/>
          <w:sz w:val="24"/>
          <w:szCs w:val="24"/>
          <w:rtl/>
        </w:rPr>
        <w:t>ס' 53 לחוק</w:t>
      </w:r>
      <w:r>
        <w:rPr>
          <w:rFonts w:ascii="David" w:hAnsi="David" w:cs="David"/>
          <w:sz w:val="24"/>
          <w:szCs w:val="24"/>
          <w:rtl/>
        </w:rPr>
        <w:t xml:space="preserve">. </w:t>
      </w:r>
    </w:p>
    <w:p w:rsidR="002901E2" w:rsidRDefault="002901E2" w:rsidP="002901E2">
      <w:pPr>
        <w:pStyle w:val="a9"/>
        <w:spacing w:after="0" w:line="360" w:lineRule="auto"/>
        <w:rPr>
          <w:rFonts w:ascii="David" w:hAnsi="David" w:cs="David"/>
          <w:sz w:val="24"/>
          <w:szCs w:val="24"/>
        </w:rPr>
      </w:pPr>
    </w:p>
    <w:p w:rsidR="002901E2" w:rsidRDefault="002901E2" w:rsidP="002901E2">
      <w:pPr>
        <w:spacing w:line="360" w:lineRule="auto"/>
        <w:jc w:val="both"/>
        <w:rPr>
          <w:rFonts w:ascii="David" w:hAnsi="David"/>
          <w:u w:val="single"/>
          <w:rtl/>
        </w:rPr>
      </w:pPr>
      <w:r>
        <w:rPr>
          <w:rFonts w:ascii="David" w:hAnsi="David"/>
          <w:u w:val="single"/>
          <w:rtl/>
        </w:rPr>
        <w:t>דיון בתביעה גופה</w:t>
      </w:r>
    </w:p>
    <w:p w:rsidR="002901E2" w:rsidRDefault="002901E2" w:rsidP="002901E2">
      <w:pPr>
        <w:spacing w:line="360" w:lineRule="auto"/>
        <w:jc w:val="both"/>
        <w:rPr>
          <w:rFonts w:ascii="David" w:hAnsi="David"/>
          <w:u w:val="single"/>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במסגרת כתב ההגנה חזר האב בעיקר על טענות הסף ולא העלה למעשה כל טענת הגנה נוספת. בתוך כך, ניתן היה לעצור כאן ולקבל את התביעה במלואה.</w:t>
      </w:r>
    </w:p>
    <w:p w:rsidR="002901E2" w:rsidRDefault="002901E2" w:rsidP="002901E2">
      <w:pPr>
        <w:pStyle w:val="a9"/>
        <w:spacing w:after="0" w:line="360" w:lineRule="auto"/>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יחד עם זאת, מצאתי מקום להתייחס לחלק מהטענות שהועלו על-ידי האב בסיכומים.</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נטען על-ידי האב כי "עברתי על כל מסמך שהוגש ולא ראיתי מסמך של התערבות של היועמ"ש" </w:t>
      </w:r>
      <w:r>
        <w:rPr>
          <w:rFonts w:ascii="David" w:hAnsi="David" w:cs="David"/>
          <w:b/>
          <w:bCs/>
          <w:sz w:val="24"/>
          <w:szCs w:val="24"/>
          <w:rtl/>
        </w:rPr>
        <w:t>ראו: פרוט' עמ' 12 ש' 23-24</w:t>
      </w:r>
      <w:r>
        <w:rPr>
          <w:rFonts w:ascii="David" w:hAnsi="David" w:cs="David"/>
          <w:sz w:val="24"/>
          <w:szCs w:val="24"/>
          <w:rtl/>
        </w:rPr>
        <w:t xml:space="preserve">.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דין הטענה להידחות.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על-אף שלתיק זה לא הוגשה עמדה רשמית מטעם ב"כ היועמ"ש כפי שהוגשה לתביעה הכספית – ויהיו לכך סיבות אשר יהיו – עמדת ב"כ היועמ"ש משתקפת מדוא"ל שנשלח על ידו לאם ולפיו:</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spacing w:after="0" w:line="360" w:lineRule="auto"/>
        <w:ind w:left="1133" w:right="1134"/>
        <w:jc w:val="both"/>
        <w:rPr>
          <w:rFonts w:ascii="David" w:hAnsi="David" w:cs="David"/>
          <w:sz w:val="24"/>
          <w:szCs w:val="24"/>
          <w:rtl/>
        </w:rPr>
      </w:pPr>
      <w:r>
        <w:rPr>
          <w:rFonts w:ascii="David" w:hAnsi="David" w:cs="David"/>
          <w:sz w:val="24"/>
          <w:szCs w:val="24"/>
          <w:rtl/>
        </w:rPr>
        <w:t>"רונית שלום.</w:t>
      </w:r>
    </w:p>
    <w:p w:rsidR="002901E2" w:rsidRDefault="002901E2" w:rsidP="002901E2">
      <w:pPr>
        <w:pStyle w:val="a9"/>
        <w:spacing w:after="0" w:line="360" w:lineRule="auto"/>
        <w:ind w:left="1133" w:right="1134"/>
        <w:jc w:val="both"/>
        <w:rPr>
          <w:rFonts w:ascii="David" w:hAnsi="David" w:cs="David"/>
          <w:sz w:val="24"/>
          <w:szCs w:val="24"/>
          <w:rtl/>
        </w:rPr>
      </w:pPr>
    </w:p>
    <w:p w:rsidR="002901E2" w:rsidRDefault="002901E2" w:rsidP="002901E2">
      <w:pPr>
        <w:pStyle w:val="a9"/>
        <w:spacing w:after="0" w:line="360" w:lineRule="auto"/>
        <w:ind w:left="1133" w:right="1134"/>
        <w:jc w:val="both"/>
        <w:rPr>
          <w:rFonts w:ascii="David" w:hAnsi="David" w:cs="David"/>
          <w:sz w:val="24"/>
          <w:szCs w:val="24"/>
          <w:rtl/>
        </w:rPr>
      </w:pPr>
      <w:r>
        <w:rPr>
          <w:rFonts w:ascii="David" w:hAnsi="David" w:cs="David"/>
          <w:sz w:val="24"/>
          <w:szCs w:val="24"/>
          <w:rtl/>
        </w:rPr>
        <w:t xml:space="preserve">בהמשך לשיחתנו, האפוטרופוס הכללי מבקש לקבל </w:t>
      </w:r>
      <w:r>
        <w:rPr>
          <w:rFonts w:ascii="David" w:hAnsi="David" w:cs="David"/>
          <w:b/>
          <w:bCs/>
          <w:sz w:val="24"/>
          <w:szCs w:val="24"/>
          <w:rtl/>
        </w:rPr>
        <w:t>דיווח מלא</w:t>
      </w:r>
      <w:r>
        <w:rPr>
          <w:rFonts w:ascii="David" w:hAnsi="David" w:cs="David"/>
          <w:sz w:val="24"/>
          <w:szCs w:val="24"/>
          <w:rtl/>
        </w:rPr>
        <w:t xml:space="preserve"> מהי גובה הקצבה החודשי של הבת </w:t>
      </w:r>
      <w:r w:rsidR="00A949BE">
        <w:rPr>
          <w:rFonts w:ascii="David" w:hAnsi="David" w:cs="David"/>
          <w:sz w:val="24"/>
          <w:szCs w:val="24"/>
          <w:rtl/>
        </w:rPr>
        <w:t>א'</w:t>
      </w:r>
      <w:r>
        <w:rPr>
          <w:rFonts w:ascii="David" w:hAnsi="David" w:cs="David"/>
          <w:sz w:val="24"/>
          <w:szCs w:val="24"/>
          <w:rtl/>
        </w:rPr>
        <w:t xml:space="preserve"> ומה נעשה בכספיה החל מגיל 18 ועד היום" [ההדגשה במקור – פ"ג] </w:t>
      </w:r>
      <w:r>
        <w:rPr>
          <w:rFonts w:ascii="David" w:hAnsi="David" w:cs="David"/>
          <w:b/>
          <w:bCs/>
          <w:sz w:val="24"/>
          <w:szCs w:val="24"/>
          <w:rtl/>
        </w:rPr>
        <w:t>ראו: נספח ח' לתיק המוצגים של האם</w:t>
      </w:r>
      <w:r>
        <w:rPr>
          <w:rFonts w:ascii="David" w:hAnsi="David" w:cs="David"/>
          <w:sz w:val="24"/>
          <w:szCs w:val="24"/>
          <w:rtl/>
        </w:rPr>
        <w:t>.</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בתוך כך, יש לדחות את טענת האב שלפיה חזקה על מדינת ישראל שאם הייתה עילת תביעה, ב"כ היועמ"ש היה מודיע על כך לבית המשפט </w:t>
      </w:r>
      <w:r>
        <w:rPr>
          <w:rFonts w:ascii="David" w:hAnsi="David" w:cs="David"/>
          <w:b/>
          <w:bCs/>
          <w:sz w:val="24"/>
          <w:szCs w:val="24"/>
          <w:rtl/>
        </w:rPr>
        <w:t>ראו: פרוט' עמ' 12 ש' 26-29</w:t>
      </w:r>
      <w:r>
        <w:rPr>
          <w:rFonts w:ascii="David" w:hAnsi="David" w:cs="David"/>
          <w:sz w:val="24"/>
          <w:szCs w:val="24"/>
          <w:rtl/>
        </w:rPr>
        <w:t xml:space="preserve">.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נטען על-ידי האם בסיכומים כי בתור מקבל הקצבאות חלים על האב חובות מכוח חוק השליחות ונאמנות </w:t>
      </w:r>
      <w:r>
        <w:rPr>
          <w:rFonts w:ascii="David" w:hAnsi="David" w:cs="David"/>
          <w:b/>
          <w:bCs/>
          <w:sz w:val="24"/>
          <w:szCs w:val="24"/>
          <w:rtl/>
        </w:rPr>
        <w:t>ראו: פרוט' עמ' 11 ש' 10-13</w:t>
      </w:r>
      <w:r>
        <w:rPr>
          <w:rFonts w:ascii="David" w:hAnsi="David" w:cs="David"/>
          <w:sz w:val="24"/>
          <w:szCs w:val="24"/>
          <w:rtl/>
        </w:rPr>
        <w:t>.</w:t>
      </w:r>
    </w:p>
    <w:p w:rsidR="002901E2" w:rsidRDefault="002901E2" w:rsidP="002901E2">
      <w:pPr>
        <w:pStyle w:val="a9"/>
        <w:spacing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דין הטענה להתקבל.</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סעיף 1 לחוק הנאמנות, התשל"ט–1979 (להלן: "</w:t>
      </w:r>
      <w:r>
        <w:rPr>
          <w:rFonts w:ascii="David" w:hAnsi="David" w:cs="David"/>
          <w:b/>
          <w:bCs/>
          <w:sz w:val="24"/>
          <w:szCs w:val="24"/>
          <w:rtl/>
        </w:rPr>
        <w:t>חוק הנאמנות</w:t>
      </w:r>
      <w:r>
        <w:rPr>
          <w:rFonts w:ascii="David" w:hAnsi="David" w:cs="David"/>
          <w:sz w:val="24"/>
          <w:szCs w:val="24"/>
          <w:rtl/>
        </w:rPr>
        <w:t>") קובע:</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spacing w:after="0" w:line="360" w:lineRule="auto"/>
        <w:ind w:left="566"/>
        <w:rPr>
          <w:rFonts w:ascii="David" w:hAnsi="David" w:cs="David"/>
          <w:b/>
          <w:bCs/>
          <w:sz w:val="24"/>
          <w:szCs w:val="24"/>
          <w:rtl/>
        </w:rPr>
      </w:pPr>
      <w:r>
        <w:rPr>
          <w:rFonts w:ascii="David" w:hAnsi="David" w:cs="David"/>
          <w:b/>
          <w:bCs/>
          <w:sz w:val="24"/>
          <w:szCs w:val="24"/>
          <w:rtl/>
        </w:rPr>
        <w:t>"זיקה לנכס, שעל פיה חייב נאמן להחזיק או לפעול בו לטובת נהנה או למטרה אחרת"</w:t>
      </w:r>
      <w:r>
        <w:rPr>
          <w:rFonts w:ascii="David" w:hAnsi="David" w:cs="David"/>
          <w:sz w:val="24"/>
          <w:szCs w:val="24"/>
          <w:rtl/>
        </w:rPr>
        <w:t>.</w:t>
      </w:r>
      <w:r>
        <w:rPr>
          <w:rFonts w:ascii="David" w:hAnsi="David" w:cs="David"/>
          <w:b/>
          <w:bCs/>
          <w:sz w:val="24"/>
          <w:szCs w:val="24"/>
          <w:rtl/>
        </w:rPr>
        <w:t xml:space="preserve"> </w:t>
      </w:r>
    </w:p>
    <w:p w:rsidR="002901E2" w:rsidRDefault="002901E2" w:rsidP="002901E2">
      <w:pPr>
        <w:pStyle w:val="a9"/>
        <w:spacing w:after="0" w:line="360" w:lineRule="auto"/>
        <w:ind w:left="566"/>
        <w:jc w:val="both"/>
        <w:rPr>
          <w:rFonts w:ascii="David" w:hAnsi="David" w:cs="David"/>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סעיף 2 לחוק הנאמנות קובע:</w:t>
      </w:r>
    </w:p>
    <w:p w:rsidR="002901E2" w:rsidRDefault="002901E2" w:rsidP="002901E2">
      <w:pPr>
        <w:pStyle w:val="a9"/>
        <w:spacing w:after="0" w:line="360" w:lineRule="auto"/>
        <w:ind w:left="566"/>
        <w:jc w:val="both"/>
        <w:rPr>
          <w:rFonts w:ascii="David" w:hAnsi="David" w:cs="David"/>
          <w:sz w:val="24"/>
          <w:szCs w:val="24"/>
        </w:rPr>
      </w:pPr>
    </w:p>
    <w:p w:rsidR="002901E2" w:rsidRDefault="002901E2" w:rsidP="002901E2">
      <w:pPr>
        <w:pStyle w:val="a9"/>
        <w:spacing w:after="0" w:line="360" w:lineRule="auto"/>
        <w:ind w:left="566"/>
        <w:rPr>
          <w:rFonts w:ascii="David" w:hAnsi="David" w:cs="David"/>
          <w:b/>
          <w:bCs/>
          <w:sz w:val="24"/>
          <w:szCs w:val="24"/>
          <w:rtl/>
        </w:rPr>
      </w:pPr>
      <w:r>
        <w:rPr>
          <w:rFonts w:ascii="David" w:hAnsi="David" w:cs="David"/>
          <w:b/>
          <w:bCs/>
          <w:sz w:val="24"/>
          <w:szCs w:val="24"/>
          <w:rtl/>
        </w:rPr>
        <w:t>"נאמנות נוצרת על פי חוק, על פי חוזה עם נאמן או על פי כתב הקדש"</w:t>
      </w:r>
      <w:r>
        <w:rPr>
          <w:rFonts w:ascii="David" w:hAnsi="David" w:cs="David"/>
          <w:sz w:val="24"/>
          <w:szCs w:val="24"/>
          <w:rtl/>
        </w:rPr>
        <w:t>.</w:t>
      </w:r>
    </w:p>
    <w:p w:rsidR="002901E2" w:rsidRDefault="002901E2" w:rsidP="002901E2">
      <w:pPr>
        <w:pStyle w:val="a9"/>
        <w:spacing w:after="0" w:line="360" w:lineRule="auto"/>
        <w:ind w:left="566"/>
        <w:jc w:val="both"/>
        <w:rPr>
          <w:rFonts w:ascii="David" w:hAnsi="David" w:cs="David"/>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בע"א 5717/95 </w:t>
      </w:r>
      <w:r>
        <w:rPr>
          <w:rFonts w:ascii="David" w:hAnsi="David" w:cs="David"/>
          <w:b/>
          <w:bCs/>
          <w:sz w:val="24"/>
          <w:szCs w:val="24"/>
          <w:rtl/>
        </w:rPr>
        <w:t>וינשטיין נ' פוקס</w:t>
      </w:r>
      <w:r>
        <w:rPr>
          <w:rFonts w:ascii="David" w:hAnsi="David" w:cs="David"/>
          <w:sz w:val="24"/>
          <w:szCs w:val="24"/>
          <w:rtl/>
        </w:rPr>
        <w:t>, פ"ד נד(5) 792 (2000) נפסק כי:</w:t>
      </w:r>
    </w:p>
    <w:p w:rsidR="002901E2" w:rsidRDefault="002901E2" w:rsidP="002901E2">
      <w:pPr>
        <w:pStyle w:val="a9"/>
        <w:spacing w:after="0" w:line="360" w:lineRule="auto"/>
        <w:ind w:left="566"/>
        <w:jc w:val="both"/>
        <w:rPr>
          <w:rFonts w:ascii="David" w:hAnsi="David" w:cs="David"/>
          <w:sz w:val="24"/>
          <w:szCs w:val="24"/>
        </w:rPr>
      </w:pPr>
    </w:p>
    <w:p w:rsidR="002901E2" w:rsidRDefault="002901E2" w:rsidP="002901E2">
      <w:pPr>
        <w:pStyle w:val="a9"/>
        <w:spacing w:after="0" w:line="360" w:lineRule="auto"/>
        <w:ind w:left="566" w:right="567"/>
        <w:jc w:val="both"/>
        <w:rPr>
          <w:rFonts w:ascii="David" w:hAnsi="David" w:cs="David"/>
          <w:i/>
          <w:iCs/>
          <w:sz w:val="24"/>
          <w:szCs w:val="24"/>
          <w:rtl/>
        </w:rPr>
      </w:pPr>
      <w:r>
        <w:rPr>
          <w:rFonts w:ascii="David" w:hAnsi="David" w:cs="David"/>
          <w:i/>
          <w:iCs/>
          <w:sz w:val="24"/>
          <w:szCs w:val="24"/>
          <w:rtl/>
        </w:rPr>
        <w:t>"אם קיימות זיקה לנכס וחובה של נאמן הרי שקיימת נאמנות, תהא אשר תהא הדרך שבה נוצרה. הדרכים שעל פיהן נוצרת נאמנות לפי סעיף 2 לחוק אינן אלא דרכים אופייניות כדי ליצור אותה, אולם אין בפירוט זה כדי לשלול דרכים אחרות – כגון יצירת נאמנות על ידי צו של בית המשפט – ובוודאי שאין בפירוט כדי לפסול נאמנות שנוצרה בדרך אחרת"</w:t>
      </w:r>
    </w:p>
    <w:p w:rsidR="002901E2" w:rsidRDefault="002901E2" w:rsidP="002901E2">
      <w:pPr>
        <w:pStyle w:val="a9"/>
        <w:spacing w:after="0" w:line="360" w:lineRule="auto"/>
        <w:ind w:left="566" w:right="567"/>
        <w:jc w:val="both"/>
        <w:rPr>
          <w:rFonts w:ascii="David" w:hAnsi="David" w:cs="David"/>
          <w:i/>
          <w:iCs/>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בתוך כך, נאמנות יכולה להשתמע גם מהתנהגות הצדדים אשר התכוונו ליצור יחסי נאמנות, הגם שלא ציינו זאת במפורש </w:t>
      </w:r>
      <w:r>
        <w:rPr>
          <w:rFonts w:ascii="David" w:hAnsi="David" w:cs="David"/>
          <w:b/>
          <w:bCs/>
          <w:sz w:val="24"/>
          <w:szCs w:val="24"/>
          <w:rtl/>
        </w:rPr>
        <w:t>ראו</w:t>
      </w:r>
      <w:r>
        <w:rPr>
          <w:rFonts w:ascii="David" w:hAnsi="David" w:cs="David"/>
          <w:sz w:val="24"/>
          <w:szCs w:val="24"/>
          <w:rtl/>
        </w:rPr>
        <w:t>: ע"א 3829/91‏</w:t>
      </w:r>
      <w:r>
        <w:rPr>
          <w:rFonts w:ascii="David" w:hAnsi="David" w:cs="David"/>
          <w:b/>
          <w:bCs/>
          <w:sz w:val="24"/>
          <w:szCs w:val="24"/>
          <w:rtl/>
        </w:rPr>
        <w:t xml:space="preserve"> וואלס</w:t>
      </w:r>
      <w:r>
        <w:rPr>
          <w:rFonts w:ascii="David" w:hAnsi="David" w:cs="David"/>
          <w:b/>
          <w:bCs/>
          <w:sz w:val="24"/>
          <w:szCs w:val="24"/>
          <w:cs/>
        </w:rPr>
        <w:t>‎</w:t>
      </w:r>
      <w:r>
        <w:rPr>
          <w:rFonts w:ascii="David" w:hAnsi="David" w:cs="David"/>
          <w:b/>
          <w:bCs/>
          <w:sz w:val="24"/>
          <w:szCs w:val="24"/>
        </w:rPr>
        <w:t xml:space="preserve"> </w:t>
      </w:r>
      <w:r>
        <w:rPr>
          <w:rFonts w:ascii="David" w:hAnsi="David" w:cs="David"/>
          <w:b/>
          <w:bCs/>
          <w:sz w:val="24"/>
          <w:szCs w:val="24"/>
          <w:cs/>
        </w:rPr>
        <w:t>‎</w:t>
      </w:r>
      <w:r>
        <w:rPr>
          <w:rFonts w:ascii="David" w:hAnsi="David" w:cs="David"/>
          <w:b/>
          <w:bCs/>
          <w:sz w:val="24"/>
          <w:szCs w:val="24"/>
          <w:rtl/>
        </w:rPr>
        <w:t>נ' גת,</w:t>
      </w:r>
      <w:r>
        <w:rPr>
          <w:rFonts w:ascii="David" w:hAnsi="David" w:cs="David"/>
          <w:sz w:val="24"/>
          <w:szCs w:val="24"/>
          <w:rtl/>
        </w:rPr>
        <w:t xml:space="preserve"> פ''ד מח(1) 801 (1994); תמ"ש 44358-11-19 </w:t>
      </w:r>
      <w:r>
        <w:rPr>
          <w:rFonts w:ascii="David" w:hAnsi="David" w:cs="David"/>
          <w:b/>
          <w:bCs/>
          <w:sz w:val="24"/>
          <w:szCs w:val="24"/>
          <w:rtl/>
        </w:rPr>
        <w:t xml:space="preserve">אלמונית נ' פלונית </w:t>
      </w:r>
      <w:r>
        <w:rPr>
          <w:rFonts w:ascii="David" w:hAnsi="David" w:cs="David"/>
          <w:sz w:val="24"/>
          <w:szCs w:val="24"/>
          <w:rtl/>
        </w:rPr>
        <w:t xml:space="preserve">(7.5.2023); תמ"ש 45146-01-20 </w:t>
      </w:r>
      <w:r>
        <w:rPr>
          <w:rFonts w:ascii="David" w:hAnsi="David" w:cs="David"/>
          <w:b/>
          <w:bCs/>
          <w:sz w:val="24"/>
          <w:szCs w:val="24"/>
          <w:rtl/>
        </w:rPr>
        <w:t xml:space="preserve">נ' נ' ש' </w:t>
      </w:r>
      <w:r>
        <w:rPr>
          <w:rFonts w:ascii="David" w:hAnsi="David" w:cs="David"/>
          <w:sz w:val="24"/>
          <w:szCs w:val="24"/>
          <w:rtl/>
        </w:rPr>
        <w:t>(9.10.2023).</w:t>
      </w:r>
    </w:p>
    <w:p w:rsidR="002901E2" w:rsidRDefault="002901E2" w:rsidP="002901E2">
      <w:pPr>
        <w:pStyle w:val="a9"/>
        <w:spacing w:after="0" w:line="360" w:lineRule="auto"/>
        <w:ind w:left="566"/>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במקרה שלפניי האב טען כי מהמועד בו </w:t>
      </w:r>
      <w:r w:rsidR="00A949BE">
        <w:rPr>
          <w:rFonts w:ascii="David" w:hAnsi="David" w:cs="David"/>
          <w:sz w:val="24"/>
          <w:szCs w:val="24"/>
          <w:rtl/>
        </w:rPr>
        <w:t>א'</w:t>
      </w:r>
      <w:r>
        <w:rPr>
          <w:rFonts w:ascii="David" w:hAnsi="David" w:cs="David"/>
          <w:sz w:val="24"/>
          <w:szCs w:val="24"/>
          <w:rtl/>
        </w:rPr>
        <w:t xml:space="preserve"> בגרה ועד למועד בו האם מונתה כאפוטרופסית זמנית, האב לא שימש</w:t>
      </w:r>
      <w:r>
        <w:rPr>
          <w:rFonts w:ascii="David" w:hAnsi="David" w:cs="David"/>
          <w:sz w:val="24"/>
          <w:szCs w:val="24"/>
        </w:rPr>
        <w:t xml:space="preserve"> </w:t>
      </w:r>
      <w:r>
        <w:rPr>
          <w:rFonts w:ascii="David" w:hAnsi="David" w:cs="David"/>
          <w:sz w:val="24"/>
          <w:szCs w:val="24"/>
          <w:rtl/>
        </w:rPr>
        <w:t>כאפוטרופוס לפי החוק ל</w:t>
      </w:r>
      <w:r w:rsidR="00A949BE">
        <w:rPr>
          <w:rFonts w:ascii="David" w:hAnsi="David" w:cs="David"/>
          <w:sz w:val="24"/>
          <w:szCs w:val="24"/>
          <w:rtl/>
        </w:rPr>
        <w:t>א'</w:t>
      </w:r>
      <w:r>
        <w:rPr>
          <w:rFonts w:ascii="David" w:hAnsi="David" w:cs="David"/>
          <w:sz w:val="24"/>
          <w:szCs w:val="24"/>
          <w:rtl/>
        </w:rPr>
        <w:t xml:space="preserve"> </w:t>
      </w:r>
      <w:r>
        <w:rPr>
          <w:rFonts w:ascii="David" w:hAnsi="David" w:cs="David"/>
          <w:b/>
          <w:bCs/>
          <w:sz w:val="24"/>
          <w:szCs w:val="24"/>
          <w:rtl/>
        </w:rPr>
        <w:t>ראו: פרוט' עמ' 12 ש' 13-14</w:t>
      </w:r>
      <w:r>
        <w:rPr>
          <w:rFonts w:ascii="David" w:hAnsi="David" w:cs="David"/>
          <w:sz w:val="24"/>
          <w:szCs w:val="24"/>
          <w:rtl/>
        </w:rPr>
        <w:t xml:space="preserve">. חרף זאת, כל הקצבאות ששולמו בגין </w:t>
      </w:r>
      <w:r w:rsidR="00A949BE">
        <w:rPr>
          <w:rFonts w:ascii="David" w:hAnsi="David" w:cs="David"/>
          <w:sz w:val="24"/>
          <w:szCs w:val="24"/>
          <w:rtl/>
        </w:rPr>
        <w:t>א'</w:t>
      </w:r>
      <w:r>
        <w:rPr>
          <w:rFonts w:ascii="David" w:hAnsi="David" w:cs="David"/>
          <w:sz w:val="24"/>
          <w:szCs w:val="24"/>
          <w:rtl/>
        </w:rPr>
        <w:t xml:space="preserve"> בתקופה זו, שולמו לחשבונו </w:t>
      </w:r>
      <w:r>
        <w:rPr>
          <w:rFonts w:ascii="David" w:hAnsi="David" w:cs="David"/>
          <w:b/>
          <w:bCs/>
          <w:sz w:val="24"/>
          <w:szCs w:val="24"/>
          <w:rtl/>
        </w:rPr>
        <w:t>ראו: פרוט' עמ' 8 ש' 6-17</w:t>
      </w:r>
      <w:r>
        <w:rPr>
          <w:rFonts w:ascii="David" w:hAnsi="David" w:cs="David"/>
          <w:sz w:val="24"/>
          <w:szCs w:val="24"/>
          <w:rtl/>
        </w:rPr>
        <w:t xml:space="preserve"> ויש לראות באב כמי ששימש נאמן ל</w:t>
      </w:r>
      <w:r w:rsidR="00A949BE">
        <w:rPr>
          <w:rFonts w:ascii="David" w:hAnsi="David" w:cs="David"/>
          <w:sz w:val="24"/>
          <w:szCs w:val="24"/>
          <w:rtl/>
        </w:rPr>
        <w:t>א'</w:t>
      </w:r>
      <w:r>
        <w:rPr>
          <w:rFonts w:ascii="David" w:hAnsi="David" w:cs="David"/>
          <w:sz w:val="24"/>
          <w:szCs w:val="24"/>
          <w:rtl/>
        </w:rPr>
        <w:t xml:space="preserve"> שכן מה שקובע אם פעולה מסוימת היא פעולת נאמנות הוא תוכנה והאם נתמלאו בה התנאים לתחולתה של הגדרת הנאמנות </w:t>
      </w:r>
      <w:r>
        <w:rPr>
          <w:rFonts w:ascii="David" w:hAnsi="David" w:cs="David"/>
          <w:b/>
          <w:bCs/>
          <w:sz w:val="24"/>
          <w:szCs w:val="24"/>
          <w:rtl/>
        </w:rPr>
        <w:t>ראו</w:t>
      </w:r>
      <w:r>
        <w:rPr>
          <w:rFonts w:ascii="David" w:hAnsi="David" w:cs="David"/>
          <w:sz w:val="24"/>
          <w:szCs w:val="24"/>
          <w:rtl/>
        </w:rPr>
        <w:t xml:space="preserve">: תלה"מ 24563-05-16 </w:t>
      </w:r>
      <w:r>
        <w:rPr>
          <w:rFonts w:ascii="David" w:hAnsi="David" w:cs="David"/>
          <w:b/>
          <w:bCs/>
          <w:sz w:val="24"/>
          <w:szCs w:val="24"/>
          <w:rtl/>
        </w:rPr>
        <w:t>צ.ע.ל. נ' ר.ב.</w:t>
      </w:r>
      <w:r>
        <w:rPr>
          <w:rFonts w:ascii="David" w:hAnsi="David" w:cs="David"/>
          <w:sz w:val="24"/>
          <w:szCs w:val="24"/>
          <w:rtl/>
        </w:rPr>
        <w:t xml:space="preserve"> (30.7.2019).</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כפועל יוצא מנאמנותו זו, בהתאם </w:t>
      </w:r>
      <w:r>
        <w:rPr>
          <w:rFonts w:ascii="David" w:hAnsi="David" w:cs="David"/>
          <w:b/>
          <w:bCs/>
          <w:sz w:val="24"/>
          <w:szCs w:val="24"/>
          <w:rtl/>
        </w:rPr>
        <w:t>לס' 10 לחוק הנאמנות</w:t>
      </w:r>
      <w:r>
        <w:rPr>
          <w:rFonts w:ascii="David" w:hAnsi="David" w:cs="David"/>
          <w:sz w:val="24"/>
          <w:szCs w:val="24"/>
          <w:rtl/>
        </w:rPr>
        <w:t xml:space="preserve"> חלה על האב, בין היתר, החובה לשמור על נכסי הנאמנות, לנהלם ולפתחם </w:t>
      </w:r>
      <w:r>
        <w:rPr>
          <w:rFonts w:ascii="David" w:hAnsi="David" w:cs="David"/>
          <w:b/>
          <w:bCs/>
          <w:sz w:val="24"/>
          <w:szCs w:val="24"/>
          <w:rtl/>
        </w:rPr>
        <w:t>ראו</w:t>
      </w:r>
      <w:r>
        <w:rPr>
          <w:rFonts w:ascii="David" w:hAnsi="David" w:cs="David"/>
          <w:sz w:val="24"/>
          <w:szCs w:val="24"/>
          <w:rtl/>
        </w:rPr>
        <w:t xml:space="preserve">: ת"א (מחוזי ת"א) 21467-02-14 </w:t>
      </w:r>
      <w:r>
        <w:rPr>
          <w:rFonts w:ascii="David" w:hAnsi="David" w:cs="David"/>
          <w:b/>
          <w:bCs/>
          <w:sz w:val="24"/>
          <w:szCs w:val="24"/>
          <w:rtl/>
        </w:rPr>
        <w:t xml:space="preserve">רוזנטל נ' שטבהולץ </w:t>
      </w:r>
      <w:r>
        <w:rPr>
          <w:rFonts w:ascii="David" w:hAnsi="David" w:cs="David"/>
          <w:sz w:val="24"/>
          <w:szCs w:val="24"/>
          <w:rtl/>
        </w:rPr>
        <w:t>(9.10.2019) ובהתאם לס' 7 לחוק הנאמנות, ליתן דין וחשבון ל</w:t>
      </w:r>
      <w:r w:rsidR="00A949BE">
        <w:rPr>
          <w:rFonts w:ascii="David" w:hAnsi="David" w:cs="David"/>
          <w:sz w:val="24"/>
          <w:szCs w:val="24"/>
          <w:rtl/>
        </w:rPr>
        <w:t>א'</w:t>
      </w:r>
      <w:r>
        <w:rPr>
          <w:rFonts w:ascii="David" w:hAnsi="David" w:cs="David"/>
          <w:sz w:val="24"/>
          <w:szCs w:val="24"/>
          <w:rtl/>
        </w:rPr>
        <w:t>, באמצעות האם, על-פי דרישתה.</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התוצאה היא כי התביעה מתקבלת.</w:t>
      </w:r>
    </w:p>
    <w:p w:rsidR="002901E2" w:rsidRDefault="002901E2" w:rsidP="002901E2">
      <w:pPr>
        <w:pStyle w:val="a9"/>
        <w:spacing w:after="0" w:line="360" w:lineRule="auto"/>
        <w:rPr>
          <w:rFonts w:ascii="David" w:hAnsi="David" w:cs="David"/>
          <w:sz w:val="24"/>
          <w:szCs w:val="24"/>
        </w:rPr>
      </w:pPr>
    </w:p>
    <w:p w:rsidR="002901E2" w:rsidRDefault="002901E2" w:rsidP="002901E2">
      <w:pPr>
        <w:spacing w:line="360" w:lineRule="auto"/>
        <w:jc w:val="both"/>
        <w:rPr>
          <w:rFonts w:ascii="David" w:hAnsi="David"/>
          <w:b/>
          <w:bCs/>
          <w:u w:val="single"/>
          <w:rtl/>
        </w:rPr>
      </w:pPr>
      <w:r>
        <w:rPr>
          <w:rFonts w:ascii="David" w:hAnsi="David"/>
          <w:b/>
          <w:bCs/>
          <w:u w:val="single"/>
          <w:rtl/>
        </w:rPr>
        <w:t>חלק אופרטיבי</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u w:val="single"/>
          <w:rtl/>
        </w:rPr>
        <w:t>התביעה בתיק א"פ 43054-04-23</w:t>
      </w:r>
      <w:r>
        <w:rPr>
          <w:rFonts w:ascii="David" w:hAnsi="David" w:cs="David"/>
          <w:sz w:val="24"/>
          <w:szCs w:val="24"/>
          <w:rtl/>
        </w:rPr>
        <w:t xml:space="preserve"> – מתקבלת ואני מחייב את האב להפקיד לחשבון סך של 17,902.50 ₪ בתוך 7 ימים. סך שלא יופקד בחשבון במועד יישא הפרשי ריבית והצמדה ממועד החיוב ועד למועד ביצוע התשלום בפועל.</w:t>
      </w:r>
    </w:p>
    <w:p w:rsidR="002901E2" w:rsidRDefault="002901E2" w:rsidP="002901E2">
      <w:pPr>
        <w:pStyle w:val="a9"/>
        <w:spacing w:after="0" w:line="360" w:lineRule="auto"/>
        <w:ind w:left="566"/>
        <w:jc w:val="both"/>
        <w:rPr>
          <w:rFonts w:ascii="David" w:hAnsi="David" w:cs="David"/>
          <w:sz w:val="24"/>
          <w:szCs w:val="24"/>
          <w:u w:val="single"/>
          <w:rtl/>
        </w:rPr>
      </w:pPr>
    </w:p>
    <w:p w:rsidR="002901E2" w:rsidRDefault="002901E2" w:rsidP="003A6191">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u w:val="single"/>
          <w:rtl/>
        </w:rPr>
        <w:t>תביעה בתיק א"פ 55192-04-23</w:t>
      </w:r>
      <w:r>
        <w:rPr>
          <w:rFonts w:ascii="David" w:hAnsi="David" w:cs="David"/>
          <w:sz w:val="24"/>
          <w:szCs w:val="24"/>
          <w:rtl/>
        </w:rPr>
        <w:t xml:space="preserve"> – מתקבלת ואני מחייב את האב למסור לאם בתוך 30 ימים מידע ומסמכים על-אודות מכלול קצבאות הנכות והשר"ם ששולמו לו עבור </w:t>
      </w:r>
      <w:r w:rsidR="00A949BE">
        <w:rPr>
          <w:rFonts w:ascii="David" w:hAnsi="David" w:cs="David"/>
          <w:sz w:val="24"/>
          <w:szCs w:val="24"/>
          <w:rtl/>
        </w:rPr>
        <w:t>א'</w:t>
      </w:r>
      <w:r>
        <w:rPr>
          <w:rFonts w:ascii="David" w:hAnsi="David" w:cs="David"/>
          <w:sz w:val="24"/>
          <w:szCs w:val="24"/>
          <w:rtl/>
        </w:rPr>
        <w:t>, החל ממועד הגעתה לבגרות (</w:t>
      </w:r>
      <w:r w:rsidR="003A6191">
        <w:rPr>
          <w:rFonts w:ascii="David" w:hAnsi="David" w:cs="David" w:hint="cs"/>
          <w:sz w:val="24"/>
          <w:szCs w:val="24"/>
          <w:rtl/>
        </w:rPr>
        <w:t>00</w:t>
      </w:r>
      <w:r>
        <w:rPr>
          <w:rFonts w:ascii="David" w:hAnsi="David" w:cs="David"/>
          <w:sz w:val="24"/>
          <w:szCs w:val="24"/>
          <w:rtl/>
        </w:rPr>
        <w:t>.</w:t>
      </w:r>
      <w:r w:rsidR="003A6191">
        <w:rPr>
          <w:rFonts w:ascii="David" w:hAnsi="David" w:cs="David" w:hint="cs"/>
          <w:sz w:val="24"/>
          <w:szCs w:val="24"/>
          <w:rtl/>
        </w:rPr>
        <w:t>00</w:t>
      </w:r>
      <w:r>
        <w:rPr>
          <w:rFonts w:ascii="David" w:hAnsi="David" w:cs="David"/>
          <w:sz w:val="24"/>
          <w:szCs w:val="24"/>
          <w:rtl/>
        </w:rPr>
        <w:t xml:space="preserve">.2022) ועד למועד בו הוצאה מביתו (15.2.2023). </w:t>
      </w:r>
    </w:p>
    <w:p w:rsidR="002901E2" w:rsidRDefault="002901E2" w:rsidP="002901E2">
      <w:pPr>
        <w:pStyle w:val="a9"/>
        <w:spacing w:after="0" w:line="360" w:lineRule="auto"/>
        <w:rPr>
          <w:rFonts w:ascii="David" w:hAnsi="David" w:cs="David"/>
          <w:sz w:val="24"/>
          <w:szCs w:val="24"/>
        </w:rPr>
      </w:pPr>
    </w:p>
    <w:p w:rsidR="002901E2" w:rsidRDefault="002901E2" w:rsidP="002901E2">
      <w:pPr>
        <w:spacing w:line="360" w:lineRule="auto"/>
        <w:jc w:val="both"/>
        <w:rPr>
          <w:rFonts w:ascii="David" w:hAnsi="David"/>
          <w:b/>
          <w:bCs/>
          <w:u w:val="single"/>
          <w:rtl/>
        </w:rPr>
      </w:pPr>
      <w:r>
        <w:rPr>
          <w:rFonts w:ascii="David" w:hAnsi="David"/>
          <w:b/>
          <w:bCs/>
          <w:u w:val="single"/>
          <w:rtl/>
        </w:rPr>
        <w:t>הוצאות משפט</w:t>
      </w:r>
    </w:p>
    <w:p w:rsidR="002901E2" w:rsidRDefault="002901E2" w:rsidP="002901E2">
      <w:pPr>
        <w:spacing w:line="360" w:lineRule="auto"/>
        <w:jc w:val="both"/>
        <w:rPr>
          <w:rFonts w:ascii="David" w:hAnsi="David"/>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בין האם לאב התנהלו ומתנהלים הליכים רבים שמספרם הכולל, לרבות תיקי תנ"ז, מגיע ל-33 הליכים.</w:t>
      </w:r>
    </w:p>
    <w:p w:rsidR="002901E2" w:rsidRDefault="002901E2" w:rsidP="002901E2">
      <w:pPr>
        <w:pStyle w:val="a9"/>
        <w:spacing w:after="0" w:line="360" w:lineRule="auto"/>
        <w:ind w:left="566"/>
        <w:jc w:val="both"/>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 xml:space="preserve">מתוך מטרה לחסוך בירור הליכים אלה, כאשר בתקופה הרלוונטית לפתיחת ההליכים הצדדים הופנו להליך טיפולי, ביום 2.5.23 ניתנו בשני ההליכים שלפניי החלטות בהן הוצע לאם למצות את הזכויות בדרך של פנייה לאב ושלא על דרך בירור ההליכים.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Pr>
      </w:pPr>
      <w:r>
        <w:rPr>
          <w:rFonts w:ascii="David" w:hAnsi="David" w:cs="David"/>
          <w:sz w:val="24"/>
          <w:szCs w:val="24"/>
          <w:rtl/>
        </w:rPr>
        <w:t>החלטה דומה ניתנה ביום 7.5.23 בשני ההליכים.</w:t>
      </w:r>
    </w:p>
    <w:p w:rsidR="0059625C" w:rsidRPr="0059625C" w:rsidRDefault="0059625C" w:rsidP="0059625C">
      <w:pPr>
        <w:pStyle w:val="a9"/>
        <w:rPr>
          <w:rFonts w:ascii="David" w:hAnsi="David" w:cs="David"/>
          <w:sz w:val="24"/>
          <w:szCs w:val="24"/>
          <w:rtl/>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האם פעלה על-פי הצעת בית המשפט ואולם פנייתה אל האב לא הניבה פרי ונדרש בירור של שני ההליכים, תוך שהאב ביקש למצות את ההליכים עד תום.</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זכותו של האב ליומו בבית המשפט אינה מוטלת בספק. יחד עם זאת, גם זכות זו כפופה לחובת תום הלב </w:t>
      </w:r>
      <w:r>
        <w:rPr>
          <w:rFonts w:ascii="David" w:hAnsi="David" w:cs="David"/>
          <w:b/>
          <w:bCs/>
          <w:sz w:val="24"/>
          <w:szCs w:val="24"/>
          <w:rtl/>
        </w:rPr>
        <w:t>ראו</w:t>
      </w:r>
      <w:r>
        <w:rPr>
          <w:rFonts w:ascii="David" w:hAnsi="David" w:cs="David"/>
          <w:sz w:val="24"/>
          <w:szCs w:val="24"/>
          <w:rtl/>
        </w:rPr>
        <w:t xml:space="preserve">: ת"א (מחוזי ירושלים) 1529/99 </w:t>
      </w:r>
      <w:r>
        <w:rPr>
          <w:rFonts w:ascii="David" w:hAnsi="David" w:cs="David"/>
          <w:b/>
          <w:bCs/>
          <w:sz w:val="24"/>
          <w:szCs w:val="24"/>
          <w:rtl/>
        </w:rPr>
        <w:t>מליבו ישראל בע"מ נ' מדינת ישראל</w:t>
      </w:r>
      <w:r>
        <w:rPr>
          <w:rFonts w:ascii="David" w:hAnsi="David" w:cs="David"/>
          <w:sz w:val="24"/>
          <w:szCs w:val="24"/>
          <w:rtl/>
        </w:rPr>
        <w:t xml:space="preserve"> (12.2.2007); תלה"מ 3918-12-22 </w:t>
      </w:r>
      <w:r>
        <w:rPr>
          <w:rFonts w:ascii="David" w:hAnsi="David" w:cs="David"/>
          <w:b/>
          <w:bCs/>
          <w:sz w:val="24"/>
          <w:szCs w:val="24"/>
          <w:rtl/>
        </w:rPr>
        <w:t>פלוני נ' פלונית</w:t>
      </w:r>
      <w:r>
        <w:rPr>
          <w:rFonts w:ascii="David" w:hAnsi="David" w:cs="David"/>
          <w:sz w:val="24"/>
          <w:szCs w:val="24"/>
          <w:rtl/>
        </w:rPr>
        <w:t xml:space="preserve"> (25.1.2023).</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b/>
          <w:bCs/>
          <w:sz w:val="24"/>
          <w:szCs w:val="24"/>
          <w:rtl/>
        </w:rPr>
        <w:t>תקנה 3 לתקנות</w:t>
      </w:r>
      <w:r>
        <w:rPr>
          <w:rFonts w:ascii="David" w:hAnsi="David" w:cs="David"/>
          <w:sz w:val="24"/>
          <w:szCs w:val="24"/>
          <w:rtl/>
        </w:rPr>
        <w:t xml:space="preserve"> מטילה חובה על בעלי הדין ובאי כוחם "לסייע לבית המשפט בקיום המוטל עליו לפי תקנות אלה, וכן לנהוג בתום לב ובהגינות דיונית תוך שהם מסייעים במימוש התכלית הדיונית, ובכלל זה העמדת הפלוגתות האמיתיות שבמחלוקת בין בעלי הדין, מיקודן, בירורן והכרעה בהן".</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האב לא פעל על-פי תקנה זו. הגנתו של האב הסתכמה בעיקר בטענות פרוצדוראליות מקדמיות ולא מבוססות, שלא היה מקום להעלותן ובמישור העובדתי אלה נדחו זו אחר זו.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האב העלה טענת קיזוז והוא לא טרח בסופו של יום להוכיח אותה, גם לא על דרך הגשת תיק מוצגים הכולל מסמכים התומכים בה, והיא אף נזנחה על ידו בסיכומים.</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התנהלות זו של האב הובילה לצורך בייצוג האם על-ידי הסיוע המשפטי ולבזבוז משאבים ציבוריים שלא לצורך. </w:t>
      </w:r>
    </w:p>
    <w:p w:rsidR="002901E2" w:rsidRDefault="002901E2" w:rsidP="002901E2">
      <w:pPr>
        <w:pStyle w:val="a9"/>
        <w:spacing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נוסף על כך, התנהלות זו של האב הובילה לבזבוז זמן שיפוטי שלא לצורך.</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אין מחלוקת שמהות תפקידו של השופט היושב בדין – להכריע </w:t>
      </w:r>
      <w:r>
        <w:rPr>
          <w:rFonts w:ascii="David" w:hAnsi="David" w:cs="David"/>
          <w:b/>
          <w:bCs/>
          <w:sz w:val="24"/>
          <w:szCs w:val="24"/>
          <w:rtl/>
        </w:rPr>
        <w:t>ראו</w:t>
      </w:r>
      <w:r>
        <w:rPr>
          <w:rFonts w:ascii="David" w:hAnsi="David" w:cs="David"/>
          <w:sz w:val="24"/>
          <w:szCs w:val="24"/>
          <w:rtl/>
        </w:rPr>
        <w:t xml:space="preserve">: בע"מ 861/17 </w:t>
      </w:r>
      <w:r>
        <w:rPr>
          <w:rFonts w:ascii="David" w:hAnsi="David" w:cs="David"/>
          <w:b/>
          <w:bCs/>
          <w:sz w:val="24"/>
          <w:szCs w:val="24"/>
          <w:rtl/>
        </w:rPr>
        <w:t>פלוני נ' פלונית</w:t>
      </w:r>
      <w:r>
        <w:rPr>
          <w:rFonts w:ascii="David" w:hAnsi="David" w:cs="David"/>
          <w:sz w:val="24"/>
          <w:szCs w:val="24"/>
          <w:rtl/>
        </w:rPr>
        <w:t xml:space="preserve"> (30.3.2017). יחד עם זאת, משאב השיפוט הוא משאב מוגבל לאור הצורך להקצות אותו לטובת דיון בעניינם של מתדיינים רבים </w:t>
      </w:r>
      <w:r>
        <w:rPr>
          <w:rFonts w:ascii="David" w:hAnsi="David" w:cs="David"/>
          <w:b/>
          <w:bCs/>
          <w:sz w:val="24"/>
          <w:szCs w:val="24"/>
          <w:rtl/>
        </w:rPr>
        <w:t>ראו</w:t>
      </w:r>
      <w:r>
        <w:rPr>
          <w:rFonts w:ascii="David" w:hAnsi="David" w:cs="David"/>
          <w:sz w:val="24"/>
          <w:szCs w:val="24"/>
          <w:rtl/>
        </w:rPr>
        <w:t xml:space="preserve">: ת"ע 13175-05-22 </w:t>
      </w:r>
      <w:r>
        <w:rPr>
          <w:rFonts w:ascii="David" w:hAnsi="David" w:cs="David"/>
          <w:b/>
          <w:bCs/>
          <w:sz w:val="24"/>
          <w:szCs w:val="24"/>
          <w:rtl/>
        </w:rPr>
        <w:t xml:space="preserve">א' נ' ע'(המנוח) </w:t>
      </w:r>
      <w:r>
        <w:rPr>
          <w:rFonts w:ascii="David" w:hAnsi="David" w:cs="David"/>
          <w:sz w:val="24"/>
          <w:szCs w:val="24"/>
          <w:rtl/>
        </w:rPr>
        <w:t xml:space="preserve">(14.9.2023) והוא אף משאב ציבורי יקר שיש לעשות בו שימוש מושכל </w:t>
      </w:r>
      <w:r>
        <w:rPr>
          <w:rFonts w:ascii="David" w:hAnsi="David" w:cs="David"/>
          <w:b/>
          <w:bCs/>
          <w:sz w:val="24"/>
          <w:szCs w:val="24"/>
          <w:rtl/>
        </w:rPr>
        <w:t>ראו</w:t>
      </w:r>
      <w:r>
        <w:rPr>
          <w:rFonts w:ascii="David" w:hAnsi="David" w:cs="David"/>
          <w:sz w:val="24"/>
          <w:szCs w:val="24"/>
          <w:rtl/>
        </w:rPr>
        <w:t xml:space="preserve">: רע"א 22788-05-21 </w:t>
      </w:r>
      <w:r>
        <w:rPr>
          <w:rFonts w:ascii="David" w:hAnsi="David" w:cs="David"/>
          <w:b/>
          <w:bCs/>
          <w:sz w:val="24"/>
          <w:szCs w:val="24"/>
          <w:rtl/>
        </w:rPr>
        <w:t>ניצני אריאל בע"מ נ' שבתאי</w:t>
      </w:r>
      <w:r>
        <w:rPr>
          <w:rFonts w:ascii="David" w:hAnsi="David" w:cs="David"/>
          <w:sz w:val="24"/>
          <w:szCs w:val="24"/>
          <w:rtl/>
        </w:rPr>
        <w:t xml:space="preserve"> (6.5.2016).</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נוכח דחיית שתי התובענות וההתרשמות כי האב ניהל את ההליכים שלא לצורך ושלא בהתאם לתקנות, תוך העלאת טענות לא מבוססות בעליל וזניחת חלק</w:t>
      </w:r>
      <w:r>
        <w:rPr>
          <w:rFonts w:ascii="David" w:hAnsi="David" w:cs="David" w:hint="cs"/>
          <w:sz w:val="24"/>
          <w:szCs w:val="24"/>
          <w:rtl/>
        </w:rPr>
        <w:t>ן בסיכומים</w:t>
      </w:r>
      <w:r>
        <w:rPr>
          <w:rFonts w:ascii="David" w:hAnsi="David" w:cs="David"/>
          <w:sz w:val="24"/>
          <w:szCs w:val="24"/>
          <w:rtl/>
        </w:rPr>
        <w:t xml:space="preserve">, ותוך העלאת טענות סותרות בניגוד לעקרון תום הלב ושימוש לרעה בהליכי משפט </w:t>
      </w:r>
      <w:r>
        <w:rPr>
          <w:rFonts w:ascii="David" w:hAnsi="David" w:cs="David"/>
          <w:b/>
          <w:bCs/>
          <w:sz w:val="24"/>
          <w:szCs w:val="24"/>
          <w:rtl/>
        </w:rPr>
        <w:t>ראו</w:t>
      </w:r>
      <w:r>
        <w:rPr>
          <w:rFonts w:ascii="David" w:hAnsi="David" w:cs="David"/>
          <w:sz w:val="24"/>
          <w:szCs w:val="24"/>
          <w:rtl/>
        </w:rPr>
        <w:t xml:space="preserve">: ת"א (מחוזי חיפה) 58528-11-19 </w:t>
      </w:r>
      <w:r>
        <w:rPr>
          <w:rFonts w:ascii="David" w:hAnsi="David" w:cs="David"/>
          <w:b/>
          <w:bCs/>
          <w:sz w:val="24"/>
          <w:szCs w:val="24"/>
          <w:rtl/>
        </w:rPr>
        <w:t xml:space="preserve">שומר נ' שומר </w:t>
      </w:r>
      <w:r>
        <w:rPr>
          <w:rFonts w:ascii="David" w:hAnsi="David" w:cs="David"/>
          <w:sz w:val="24"/>
          <w:szCs w:val="24"/>
          <w:rtl/>
        </w:rPr>
        <w:t>(27.6.2023), מצאתי מקום לחייב את האב בהוצאות משפט לטובת אוצר המדינה בסך של 10,000 ₪ ובסך של 2,000 ₪ לטובת האם, המיוצגת על-ידי הסיוע המשפטי בשל הצורך ליטול חלק בהליך זה ולהתייצב לדיון בבית המשפט.</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 xml:space="preserve">זכות ערעור כדין. </w:t>
      </w:r>
    </w:p>
    <w:p w:rsidR="002901E2" w:rsidRDefault="002901E2" w:rsidP="002901E2">
      <w:pPr>
        <w:pStyle w:val="a9"/>
        <w:spacing w:after="0" w:line="360" w:lineRule="auto"/>
        <w:rPr>
          <w:rFonts w:ascii="David" w:hAnsi="David" w:cs="David"/>
          <w:sz w:val="24"/>
          <w:szCs w:val="24"/>
        </w:rPr>
      </w:pPr>
    </w:p>
    <w:p w:rsidR="002901E2" w:rsidRDefault="002901E2" w:rsidP="002901E2">
      <w:pPr>
        <w:pStyle w:val="a9"/>
        <w:numPr>
          <w:ilvl w:val="0"/>
          <w:numId w:val="1"/>
        </w:numPr>
        <w:spacing w:after="0" w:line="360" w:lineRule="auto"/>
        <w:ind w:left="566" w:hanging="567"/>
        <w:jc w:val="both"/>
        <w:rPr>
          <w:rFonts w:ascii="David" w:hAnsi="David" w:cs="David"/>
          <w:b/>
          <w:bCs/>
          <w:sz w:val="24"/>
          <w:szCs w:val="24"/>
          <w:rtl/>
        </w:rPr>
      </w:pPr>
      <w:r>
        <w:rPr>
          <w:rFonts w:ascii="David" w:hAnsi="David" w:cs="David"/>
          <w:b/>
          <w:bCs/>
          <w:sz w:val="24"/>
          <w:szCs w:val="24"/>
          <w:rtl/>
        </w:rPr>
        <w:t>המזכירות תסגור את שני ההליכים</w:t>
      </w:r>
      <w:r>
        <w:rPr>
          <w:rFonts w:ascii="David" w:hAnsi="David" w:cs="David"/>
          <w:sz w:val="24"/>
          <w:szCs w:val="24"/>
          <w:rtl/>
        </w:rPr>
        <w:t>.</w:t>
      </w:r>
    </w:p>
    <w:p w:rsidR="002901E2" w:rsidRDefault="002901E2" w:rsidP="002901E2">
      <w:pPr>
        <w:pStyle w:val="a9"/>
        <w:spacing w:line="360" w:lineRule="auto"/>
        <w:rPr>
          <w:rFonts w:ascii="David" w:hAnsi="David" w:cs="David"/>
          <w:b/>
          <w:bCs/>
          <w:sz w:val="24"/>
          <w:szCs w:val="24"/>
        </w:rPr>
      </w:pPr>
    </w:p>
    <w:p w:rsidR="002901E2" w:rsidRPr="005D5A10" w:rsidRDefault="005D5A10" w:rsidP="005D5A10">
      <w:pPr>
        <w:pStyle w:val="a9"/>
        <w:numPr>
          <w:ilvl w:val="0"/>
          <w:numId w:val="1"/>
        </w:numPr>
        <w:spacing w:after="0" w:line="360" w:lineRule="auto"/>
        <w:ind w:left="566" w:hanging="567"/>
        <w:jc w:val="both"/>
        <w:rPr>
          <w:rFonts w:ascii="David" w:hAnsi="David" w:cs="David"/>
          <w:sz w:val="24"/>
          <w:szCs w:val="24"/>
          <w:rtl/>
        </w:rPr>
      </w:pPr>
      <w:r>
        <w:rPr>
          <w:rFonts w:ascii="David" w:hAnsi="David" w:cs="David"/>
          <w:sz w:val="24"/>
          <w:szCs w:val="24"/>
          <w:rtl/>
        </w:rPr>
        <w:t>אני מתיר את פרסום פסק הדין לאחר השמטת פרטים מזהים</w:t>
      </w:r>
      <w:r>
        <w:rPr>
          <w:rFonts w:ascii="David" w:hAnsi="David" w:cs="David" w:hint="cs"/>
          <w:sz w:val="24"/>
          <w:szCs w:val="24"/>
          <w:rtl/>
        </w:rPr>
        <w:t>.</w:t>
      </w:r>
    </w:p>
    <w:p w:rsidR="002901E2" w:rsidRDefault="002901E2" w:rsidP="002901E2">
      <w:pPr>
        <w:spacing w:line="360" w:lineRule="auto"/>
        <w:jc w:val="both"/>
        <w:rPr>
          <w:rFonts w:ascii="Arial" w:hAnsi="Arial"/>
          <w:noProof w:val="0"/>
          <w:rtl/>
        </w:rPr>
      </w:pPr>
    </w:p>
    <w:p w:rsidR="002901E2" w:rsidRDefault="002901E2" w:rsidP="002901E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כ"ז כסלו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10 דצמבר 2023</w:t>
          </w:r>
        </w:sdtContent>
      </w:sdt>
      <w:r>
        <w:rPr>
          <w:rFonts w:ascii="Arial" w:hAnsi="Arial"/>
          <w:noProof w:val="0"/>
          <w:rtl/>
        </w:rPr>
        <w:t>, בהעדר הצדדים.</w:t>
      </w:r>
    </w:p>
    <w:p w:rsidR="002901E2" w:rsidRDefault="002901E2" w:rsidP="002901E2">
      <w:pPr>
        <w:spacing w:line="360" w:lineRule="auto"/>
        <w:jc w:val="both"/>
        <w:rPr>
          <w:rFonts w:ascii="Arial" w:hAnsi="Arial"/>
          <w:noProof w:val="0"/>
          <w:rtl/>
        </w:rPr>
      </w:pPr>
    </w:p>
    <w:p w:rsidR="002901E2" w:rsidRDefault="002901E2" w:rsidP="002901E2">
      <w:pPr>
        <w:spacing w:line="360" w:lineRule="auto"/>
        <w:jc w:val="center"/>
      </w:pPr>
      <w:r>
        <w:rPr>
          <w:rtl/>
        </w:rPr>
        <w:tab/>
      </w:r>
      <w:r>
        <w:rPr>
          <w:rtl/>
        </w:rPr>
        <w:tab/>
      </w:r>
      <w:r>
        <w:rPr>
          <w:rtl/>
        </w:rPr>
        <w:tab/>
      </w:r>
      <w:sdt>
        <w:sdtPr>
          <w:rPr>
            <w:rtl/>
          </w:rPr>
          <w:alias w:val="MergeField"/>
          <w:tag w:val="1237"/>
          <w:id w:val="275995529"/>
        </w:sdtPr>
        <w:sdtEndPr/>
        <w:sdtContent>
          <w:r>
            <w:drawing>
              <wp:inline distT="0" distB="0" distL="0" distR="0" wp14:anchorId="2959A860" wp14:editId="6F9D40BE">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28800" cy="733425"/>
                        </a:xfrm>
                        <a:prstGeom prst="rect">
                          <a:avLst/>
                        </a:prstGeom>
                      </pic:spPr>
                    </pic:pic>
                  </a:graphicData>
                </a:graphic>
              </wp:inline>
            </w:drawing>
          </w:r>
        </w:sdtContent>
      </w:sdt>
    </w:p>
    <w:p w:rsidR="002901E2" w:rsidRDefault="002901E2" w:rsidP="002901E2">
      <w:pPr>
        <w:spacing w:line="360" w:lineRule="auto"/>
        <w:jc w:val="center"/>
        <w:rPr>
          <w:rFonts w:ascii="Arial" w:hAnsi="Arial"/>
          <w:noProof w:val="0"/>
          <w:rtl/>
        </w:rPr>
      </w:pPr>
    </w:p>
    <w:p w:rsidR="000B49A7" w:rsidRDefault="000B49A7"/>
    <w:sectPr w:rsidR="000B49A7" w:rsidSect="00DA62CF">
      <w:headerReference w:type="even" r:id="rId8"/>
      <w:headerReference w:type="default" r:id="rId9"/>
      <w:footerReference w:type="even" r:id="rId10"/>
      <w:footerReference w:type="default" r:id="rId11"/>
      <w:headerReference w:type="first" r:id="rId12"/>
      <w:footerReference w:type="first" r:id="rId13"/>
      <w:pgSz w:w="11907" w:h="16840" w:code="9"/>
      <w:pgMar w:top="1701" w:right="1701" w:bottom="170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BFF" w:rsidRDefault="00B65BFF" w:rsidP="002901E2">
      <w:r>
        <w:separator/>
      </w:r>
    </w:p>
  </w:endnote>
  <w:endnote w:type="continuationSeparator" w:id="0">
    <w:p w:rsidR="00B65BFF" w:rsidRDefault="00B65BFF" w:rsidP="0029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0B0" w:rsidRDefault="004030B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7B1380">
    <w:pPr>
      <w:pStyle w:val="a5"/>
      <w:jc w:val="center"/>
      <w:rPr>
        <w:rStyle w:val="a8"/>
      </w:rPr>
    </w:pPr>
    <w:r>
      <w:rPr>
        <w:rStyle w:val="a8"/>
      </w:rPr>
      <w:fldChar w:fldCharType="begin"/>
    </w:r>
    <w:r>
      <w:rPr>
        <w:rStyle w:val="a8"/>
      </w:rPr>
      <w:instrText xml:space="preserve"> PAGE </w:instrText>
    </w:r>
    <w:r>
      <w:rPr>
        <w:rStyle w:val="a8"/>
      </w:rPr>
      <w:fldChar w:fldCharType="separate"/>
    </w:r>
    <w:r w:rsidR="004030B0">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4030B0">
      <w:rPr>
        <w:rStyle w:val="a8"/>
        <w:rtl/>
      </w:rPr>
      <w:t>14</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0B0" w:rsidRDefault="004030B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BFF" w:rsidRDefault="00B65BFF" w:rsidP="002901E2">
      <w:r>
        <w:separator/>
      </w:r>
    </w:p>
  </w:footnote>
  <w:footnote w:type="continuationSeparator" w:id="0">
    <w:p w:rsidR="00B65BFF" w:rsidRDefault="00B65BFF" w:rsidP="00290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0B0" w:rsidRDefault="004030B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7B1380">
    <w:pPr>
      <w:pStyle w:val="a3"/>
      <w:jc w:val="center"/>
      <w:rPr>
        <w:rFonts w:cs="FrankRuehl"/>
        <w:noProof w:val="0"/>
        <w:sz w:val="28"/>
        <w:szCs w:val="28"/>
        <w:rtl/>
      </w:rPr>
    </w:pPr>
    <w:r>
      <w:rPr>
        <w:rFonts w:cs="FrankRuehl"/>
        <w:sz w:val="28"/>
        <w:szCs w:val="28"/>
      </w:rPr>
      <w:drawing>
        <wp:inline distT="0" distB="0" distL="0" distR="0" wp14:anchorId="29ABFC58" wp14:editId="45FC7357">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7B1380">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B65BFF">
          <w:pPr>
            <w:rPr>
              <w:b/>
              <w:bCs/>
              <w:noProof w:val="0"/>
              <w:sz w:val="26"/>
              <w:szCs w:val="26"/>
              <w:rtl/>
            </w:rPr>
          </w:pPr>
        </w:p>
      </w:tc>
      <w:sdt>
        <w:sdtPr>
          <w:rPr>
            <w:rtl/>
          </w:rPr>
          <w:alias w:val="1456"/>
          <w:tag w:val="1456"/>
          <w:id w:val="952063389"/>
          <w:text/>
        </w:sdtPr>
        <w:sdtEndPr/>
        <w:sdtContent>
          <w:tc>
            <w:tcPr>
              <w:tcW w:w="3674" w:type="dxa"/>
            </w:tcPr>
            <w:p w:rsidR="002914D6" w:rsidRDefault="007B1380">
              <w:pPr>
                <w:pStyle w:val="a3"/>
                <w:jc w:val="right"/>
                <w:rPr>
                  <w:b/>
                  <w:bCs/>
                  <w:noProof w:val="0"/>
                  <w:sz w:val="26"/>
                  <w:szCs w:val="26"/>
                  <w:rtl/>
                </w:rPr>
              </w:pPr>
              <w:r>
                <w:rPr>
                  <w:b/>
                  <w:bCs/>
                  <w:noProof w:val="0"/>
                  <w:sz w:val="26"/>
                  <w:szCs w:val="26"/>
                  <w:rtl/>
                </w:rPr>
                <w:t>10 דצמבר 2023</w:t>
              </w:r>
            </w:p>
          </w:tc>
        </w:sdtContent>
      </w:sdt>
    </w:tr>
    <w:tr w:rsidR="002914D6">
      <w:trPr>
        <w:trHeight w:val="337"/>
        <w:jc w:val="center"/>
      </w:trPr>
      <w:tc>
        <w:tcPr>
          <w:tcW w:w="8721" w:type="dxa"/>
          <w:gridSpan w:val="2"/>
        </w:tcPr>
        <w:p w:rsidR="002914D6" w:rsidRDefault="00B65BFF" w:rsidP="005234BE">
          <w:pPr>
            <w:rPr>
              <w:b/>
              <w:bCs/>
              <w:noProof w:val="0"/>
              <w:sz w:val="26"/>
              <w:szCs w:val="26"/>
              <w:rtl/>
            </w:rPr>
          </w:pPr>
          <w:sdt>
            <w:sdtPr>
              <w:rPr>
                <w:rtl/>
              </w:rPr>
              <w:alias w:val="1170"/>
              <w:tag w:val="1170"/>
              <w:id w:val="-1240940633"/>
              <w:text w:multiLine="1"/>
            </w:sdtPr>
            <w:sdtEndPr/>
            <w:sdtContent>
              <w:r w:rsidR="007B1380">
                <w:rPr>
                  <w:b/>
                  <w:bCs/>
                  <w:noProof w:val="0"/>
                  <w:sz w:val="26"/>
                  <w:szCs w:val="26"/>
                  <w:rtl/>
                </w:rPr>
                <w:t>א"פ</w:t>
              </w:r>
            </w:sdtContent>
          </w:sdt>
          <w:r w:rsidR="007B1380">
            <w:rPr>
              <w:b/>
              <w:bCs/>
              <w:noProof w:val="0"/>
              <w:sz w:val="26"/>
              <w:szCs w:val="26"/>
              <w:rtl/>
            </w:rPr>
            <w:t xml:space="preserve"> </w:t>
          </w:r>
          <w:bookmarkStart w:id="0" w:name="_GoBack"/>
          <w:sdt>
            <w:sdtPr>
              <w:rPr>
                <w:rtl/>
              </w:rPr>
              <w:alias w:val="1171"/>
              <w:tag w:val="1171"/>
              <w:id w:val="-1122917173"/>
              <w:text w:multiLine="1"/>
            </w:sdtPr>
            <w:sdtEndPr/>
            <w:sdtContent>
              <w:r w:rsidR="007B1380">
                <w:rPr>
                  <w:b/>
                  <w:bCs/>
                  <w:noProof w:val="0"/>
                  <w:sz w:val="26"/>
                  <w:szCs w:val="26"/>
                  <w:rtl/>
                </w:rPr>
                <w:t>43054-04-23</w:t>
              </w:r>
            </w:sdtContent>
          </w:sdt>
          <w:bookmarkEnd w:id="0"/>
          <w:r w:rsidR="007B1380">
            <w:rPr>
              <w:b/>
              <w:bCs/>
              <w:noProof w:val="0"/>
              <w:sz w:val="26"/>
              <w:szCs w:val="26"/>
              <w:rtl/>
            </w:rPr>
            <w:t xml:space="preserve"> </w:t>
          </w:r>
          <w:sdt>
            <w:sdtPr>
              <w:rPr>
                <w:rtl/>
              </w:rPr>
              <w:alias w:val="1172"/>
              <w:tag w:val="1172"/>
              <w:id w:val="1658414112"/>
              <w:text w:multiLine="1"/>
            </w:sdtPr>
            <w:sdtEndPr/>
            <w:sdtContent>
              <w:r w:rsidR="005234BE">
                <w:rPr>
                  <w:rFonts w:hint="cs"/>
                  <w:b/>
                  <w:bCs/>
                  <w:noProof w:val="0"/>
                  <w:sz w:val="26"/>
                  <w:szCs w:val="26"/>
                  <w:rtl/>
                </w:rPr>
                <w:t>פלונית</w:t>
              </w:r>
              <w:r w:rsidR="007B1380">
                <w:rPr>
                  <w:rFonts w:hint="cs"/>
                  <w:b/>
                  <w:bCs/>
                  <w:noProof w:val="0"/>
                  <w:sz w:val="26"/>
                  <w:szCs w:val="26"/>
                  <w:rtl/>
                </w:rPr>
                <w:t xml:space="preserve"> נ' </w:t>
              </w:r>
              <w:r w:rsidR="005234BE">
                <w:rPr>
                  <w:rFonts w:hint="cs"/>
                  <w:b/>
                  <w:bCs/>
                  <w:noProof w:val="0"/>
                  <w:sz w:val="26"/>
                  <w:szCs w:val="26"/>
                  <w:rtl/>
                </w:rPr>
                <w:t>פלוני</w:t>
              </w:r>
            </w:sdtContent>
          </w:sdt>
        </w:p>
        <w:p w:rsidR="002914D6" w:rsidRPr="00DA62CF" w:rsidRDefault="007B1380" w:rsidP="005234BE">
          <w:pPr>
            <w:rPr>
              <w:b/>
              <w:bCs/>
              <w:sz w:val="26"/>
              <w:szCs w:val="26"/>
              <w:rtl/>
            </w:rPr>
          </w:pPr>
          <w:r w:rsidRPr="00DA62CF">
            <w:rPr>
              <w:rFonts w:hint="cs"/>
              <w:b/>
              <w:bCs/>
              <w:sz w:val="26"/>
              <w:szCs w:val="26"/>
              <w:rtl/>
            </w:rPr>
            <w:t xml:space="preserve">א"פ 55192-04-23 </w:t>
          </w:r>
          <w:r w:rsidR="005234BE">
            <w:rPr>
              <w:rFonts w:hint="cs"/>
              <w:b/>
              <w:bCs/>
              <w:sz w:val="26"/>
              <w:szCs w:val="26"/>
              <w:rtl/>
            </w:rPr>
            <w:t>פלונית</w:t>
          </w:r>
          <w:r w:rsidRPr="00DA62CF">
            <w:rPr>
              <w:rFonts w:hint="cs"/>
              <w:b/>
              <w:bCs/>
              <w:sz w:val="26"/>
              <w:szCs w:val="26"/>
              <w:rtl/>
            </w:rPr>
            <w:t xml:space="preserve"> נ' </w:t>
          </w:r>
          <w:r w:rsidR="005234BE">
            <w:rPr>
              <w:rFonts w:hint="cs"/>
              <w:b/>
              <w:bCs/>
              <w:sz w:val="26"/>
              <w:szCs w:val="26"/>
              <w:rtl/>
            </w:rPr>
            <w:t>פלוני</w:t>
          </w:r>
        </w:p>
        <w:p w:rsidR="00E05551" w:rsidRDefault="00B65BFF">
          <w:pPr>
            <w:rPr>
              <w:rtl/>
            </w:rPr>
          </w:pPr>
        </w:p>
      </w:tc>
    </w:tr>
  </w:tbl>
  <w:p w:rsidR="002914D6" w:rsidRDefault="007B1380">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0B0" w:rsidRDefault="004030B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4E565E"/>
    <w:multiLevelType w:val="hybridMultilevel"/>
    <w:tmpl w:val="978C62B0"/>
    <w:lvl w:ilvl="0" w:tplc="5854E5C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A5D5086"/>
    <w:multiLevelType w:val="hybridMultilevel"/>
    <w:tmpl w:val="34643FE2"/>
    <w:lvl w:ilvl="0" w:tplc="174C08A2">
      <w:start w:val="1"/>
      <w:numFmt w:val="decimal"/>
      <w:lvlText w:val="%1."/>
      <w:lvlJc w:val="left"/>
      <w:pPr>
        <w:ind w:left="360" w:hanging="360"/>
      </w:pPr>
      <w:rPr>
        <w:rFonts w:ascii="David" w:hAnsi="David" w:cs="David" w:hint="default"/>
        <w:b w:val="0"/>
        <w:bCs w:val="0"/>
        <w:i w:val="0"/>
        <w:iCs w:val="0"/>
        <w:sz w:val="24"/>
        <w:szCs w:val="24"/>
      </w:rPr>
    </w:lvl>
    <w:lvl w:ilvl="1" w:tplc="43A2EE7E">
      <w:start w:val="1"/>
      <w:numFmt w:val="lowerLetter"/>
      <w:lvlText w:val="%2."/>
      <w:lvlJc w:val="left"/>
      <w:pPr>
        <w:ind w:left="1080" w:hanging="360"/>
      </w:pPr>
    </w:lvl>
    <w:lvl w:ilvl="2" w:tplc="16B0AA96">
      <w:start w:val="1"/>
      <w:numFmt w:val="lowerRoman"/>
      <w:lvlText w:val="%3."/>
      <w:lvlJc w:val="right"/>
      <w:pPr>
        <w:ind w:left="1800" w:hanging="180"/>
      </w:pPr>
    </w:lvl>
    <w:lvl w:ilvl="3" w:tplc="C7127F96">
      <w:start w:val="1"/>
      <w:numFmt w:val="decimal"/>
      <w:lvlText w:val="%4."/>
      <w:lvlJc w:val="left"/>
      <w:pPr>
        <w:ind w:left="2520" w:hanging="360"/>
      </w:pPr>
    </w:lvl>
    <w:lvl w:ilvl="4" w:tplc="1430F8F6">
      <w:start w:val="1"/>
      <w:numFmt w:val="lowerLetter"/>
      <w:lvlText w:val="%5."/>
      <w:lvlJc w:val="left"/>
      <w:pPr>
        <w:ind w:left="3240" w:hanging="360"/>
      </w:pPr>
    </w:lvl>
    <w:lvl w:ilvl="5" w:tplc="88D25B60">
      <w:start w:val="1"/>
      <w:numFmt w:val="lowerRoman"/>
      <w:lvlText w:val="%6."/>
      <w:lvlJc w:val="right"/>
      <w:pPr>
        <w:ind w:left="3960" w:hanging="180"/>
      </w:pPr>
    </w:lvl>
    <w:lvl w:ilvl="6" w:tplc="E2EE5A4C">
      <w:start w:val="1"/>
      <w:numFmt w:val="decimal"/>
      <w:lvlText w:val="%7."/>
      <w:lvlJc w:val="left"/>
      <w:pPr>
        <w:ind w:left="4680" w:hanging="360"/>
      </w:pPr>
    </w:lvl>
    <w:lvl w:ilvl="7" w:tplc="A992E7EC">
      <w:start w:val="1"/>
      <w:numFmt w:val="lowerLetter"/>
      <w:lvlText w:val="%8."/>
      <w:lvlJc w:val="left"/>
      <w:pPr>
        <w:ind w:left="5400" w:hanging="360"/>
      </w:pPr>
    </w:lvl>
    <w:lvl w:ilvl="8" w:tplc="0B42659A">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1E2"/>
    <w:rsid w:val="000902D9"/>
    <w:rsid w:val="000B49A7"/>
    <w:rsid w:val="002255A1"/>
    <w:rsid w:val="00245BAD"/>
    <w:rsid w:val="002901E2"/>
    <w:rsid w:val="00322C74"/>
    <w:rsid w:val="003A26DB"/>
    <w:rsid w:val="003A6191"/>
    <w:rsid w:val="004030B0"/>
    <w:rsid w:val="004A6385"/>
    <w:rsid w:val="005234BE"/>
    <w:rsid w:val="00553EC1"/>
    <w:rsid w:val="0059625C"/>
    <w:rsid w:val="005D5A10"/>
    <w:rsid w:val="00631700"/>
    <w:rsid w:val="007B1380"/>
    <w:rsid w:val="007E3743"/>
    <w:rsid w:val="00872EFC"/>
    <w:rsid w:val="00880A82"/>
    <w:rsid w:val="008F03EC"/>
    <w:rsid w:val="009F244E"/>
    <w:rsid w:val="00A949BE"/>
    <w:rsid w:val="00AF0FB5"/>
    <w:rsid w:val="00B65BFF"/>
    <w:rsid w:val="00C02A75"/>
    <w:rsid w:val="00C55806"/>
    <w:rsid w:val="00CA3363"/>
    <w:rsid w:val="00CC5350"/>
    <w:rsid w:val="00D11053"/>
    <w:rsid w:val="00D4457E"/>
    <w:rsid w:val="00D66B5D"/>
    <w:rsid w:val="00E54CF6"/>
    <w:rsid w:val="00E62E38"/>
    <w:rsid w:val="00F27AAD"/>
    <w:rsid w:val="00F43D38"/>
    <w:rsid w:val="00FE432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8985F5-F134-4490-B072-7BECED1F6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1E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901E2"/>
    <w:pPr>
      <w:tabs>
        <w:tab w:val="center" w:pos="4153"/>
        <w:tab w:val="right" w:pos="8306"/>
      </w:tabs>
    </w:pPr>
  </w:style>
  <w:style w:type="character" w:customStyle="1" w:styleId="a4">
    <w:name w:val="כותרת עליונה תו"/>
    <w:basedOn w:val="a0"/>
    <w:link w:val="a3"/>
    <w:rsid w:val="002901E2"/>
    <w:rPr>
      <w:rFonts w:ascii="Times New Roman" w:eastAsia="Times New Roman" w:hAnsi="Times New Roman" w:cs="David"/>
      <w:noProof/>
      <w:sz w:val="24"/>
      <w:szCs w:val="24"/>
    </w:rPr>
  </w:style>
  <w:style w:type="paragraph" w:styleId="a5">
    <w:name w:val="footer"/>
    <w:basedOn w:val="a"/>
    <w:link w:val="a6"/>
    <w:rsid w:val="002901E2"/>
    <w:pPr>
      <w:tabs>
        <w:tab w:val="center" w:pos="4153"/>
        <w:tab w:val="right" w:pos="8306"/>
      </w:tabs>
    </w:pPr>
  </w:style>
  <w:style w:type="character" w:customStyle="1" w:styleId="a6">
    <w:name w:val="כותרת תחתונה תו"/>
    <w:basedOn w:val="a0"/>
    <w:link w:val="a5"/>
    <w:rsid w:val="002901E2"/>
    <w:rPr>
      <w:rFonts w:ascii="Times New Roman" w:eastAsia="Times New Roman" w:hAnsi="Times New Roman" w:cs="David"/>
      <w:noProof/>
      <w:sz w:val="24"/>
      <w:szCs w:val="24"/>
    </w:rPr>
  </w:style>
  <w:style w:type="table" w:styleId="a7">
    <w:name w:val="Table Grid"/>
    <w:basedOn w:val="a1"/>
    <w:rsid w:val="002901E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2901E2"/>
  </w:style>
  <w:style w:type="character" w:styleId="Hyperlink">
    <w:name w:val="Hyperlink"/>
    <w:semiHidden/>
    <w:unhideWhenUsed/>
    <w:rsid w:val="002901E2"/>
    <w:rPr>
      <w:color w:val="0000FF"/>
      <w:u w:val="single"/>
    </w:rPr>
  </w:style>
  <w:style w:type="paragraph" w:styleId="a9">
    <w:name w:val="List Paragraph"/>
    <w:basedOn w:val="a"/>
    <w:uiPriority w:val="34"/>
    <w:qFormat/>
    <w:rsid w:val="002901E2"/>
    <w:pPr>
      <w:spacing w:after="160" w:line="256" w:lineRule="auto"/>
      <w:ind w:left="720"/>
      <w:contextualSpacing/>
    </w:pPr>
    <w:rPr>
      <w:rFonts w:asciiTheme="minorHAnsi" w:eastAsiaTheme="minorHAnsi" w:hAnsiTheme="minorHAnsi" w:cstheme="minorBidi"/>
      <w:noProof w:val="0"/>
      <w:sz w:val="22"/>
      <w:szCs w:val="22"/>
    </w:rPr>
  </w:style>
  <w:style w:type="character" w:styleId="aa">
    <w:name w:val="line number"/>
    <w:basedOn w:val="a0"/>
    <w:uiPriority w:val="99"/>
    <w:semiHidden/>
    <w:unhideWhenUsed/>
    <w:rsid w:val="002901E2"/>
  </w:style>
  <w:style w:type="paragraph" w:styleId="ab">
    <w:name w:val="Balloon Text"/>
    <w:basedOn w:val="a"/>
    <w:link w:val="ac"/>
    <w:uiPriority w:val="99"/>
    <w:semiHidden/>
    <w:unhideWhenUsed/>
    <w:rsid w:val="00F43D38"/>
    <w:rPr>
      <w:rFonts w:ascii="Tahoma" w:hAnsi="Tahoma" w:cs="Tahoma"/>
      <w:sz w:val="18"/>
      <w:szCs w:val="18"/>
    </w:rPr>
  </w:style>
  <w:style w:type="character" w:customStyle="1" w:styleId="ac">
    <w:name w:val="טקסט בלונים תו"/>
    <w:basedOn w:val="a0"/>
    <w:link w:val="ab"/>
    <w:uiPriority w:val="99"/>
    <w:semiHidden/>
    <w:rsid w:val="00F43D38"/>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943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BD239D1E61544E5B190B9AD8B2A3496"/>
        <w:category>
          <w:name w:val="כללי"/>
          <w:gallery w:val="placeholder"/>
        </w:category>
        <w:types>
          <w:type w:val="bbPlcHdr"/>
        </w:types>
        <w:behaviors>
          <w:behavior w:val="content"/>
        </w:behaviors>
        <w:guid w:val="{D62B33F8-9B80-4D88-981E-0BE7A3BC7480}"/>
      </w:docPartPr>
      <w:docPartBody>
        <w:p w:rsidR="008E6871" w:rsidRDefault="00AE0EC9" w:rsidP="00AE0EC9">
          <w:pPr>
            <w:pStyle w:val="2BD239D1E61544E5B190B9AD8B2A3496"/>
          </w:pPr>
          <w:r>
            <w:rPr>
              <w:rFonts w:hint="cs"/>
              <w:b/>
              <w:bCs/>
              <w:sz w:val="26"/>
              <w:szCs w:val="26"/>
              <w:rtl/>
            </w:rPr>
            <w:t>סוג בעניין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EC9"/>
    <w:rsid w:val="002B3B11"/>
    <w:rsid w:val="008E6871"/>
    <w:rsid w:val="00AE0EC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BD239D1E61544E5B190B9AD8B2A3496">
    <w:name w:val="2BD239D1E61544E5B190B9AD8B2A3496"/>
    <w:rsid w:val="00AE0EC9"/>
    <w:pPr>
      <w:bidi/>
    </w:pPr>
  </w:style>
  <w:style w:type="paragraph" w:customStyle="1" w:styleId="2D8B01306E6144D5B81DC2860C3BA6C3">
    <w:name w:val="2D8B01306E6144D5B81DC2860C3BA6C3"/>
    <w:rsid w:val="00AE0EC9"/>
    <w:pPr>
      <w:bidi/>
    </w:pPr>
  </w:style>
  <w:style w:type="paragraph" w:customStyle="1" w:styleId="E56BFD7F7F3244A8AFF92DB7180EF6C7">
    <w:name w:val="E56BFD7F7F3244A8AFF92DB7180EF6C7"/>
    <w:rsid w:val="00AE0EC9"/>
    <w:pPr>
      <w:bidi/>
    </w:pPr>
  </w:style>
  <w:style w:type="paragraph" w:customStyle="1" w:styleId="F3B0F33BDA1E490BB3A19E56F82A43C4">
    <w:name w:val="F3B0F33BDA1E490BB3A19E56F82A43C4"/>
    <w:rsid w:val="00AE0EC9"/>
    <w:pPr>
      <w:bidi/>
    </w:pPr>
  </w:style>
  <w:style w:type="paragraph" w:customStyle="1" w:styleId="E663885AAFD94456B28A1ED28B1422C4">
    <w:name w:val="E663885AAFD94456B28A1ED28B1422C4"/>
    <w:rsid w:val="00AE0EC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4699</Words>
  <Characters>20817</Characters>
  <Application>Microsoft Office Word</Application>
  <DocSecurity>0</DocSecurity>
  <Lines>612</Lines>
  <Paragraphs>218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גרמאו מנגיסטו</cp:lastModifiedBy>
  <cp:revision>2</cp:revision>
  <cp:lastPrinted>2023-12-20T10:35:00Z</cp:lastPrinted>
  <dcterms:created xsi:type="dcterms:W3CDTF">2024-01-21T15:15:00Z</dcterms:created>
  <dcterms:modified xsi:type="dcterms:W3CDTF">2024-01-21T15:15:00Z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513eae909d5a039c1932d9e75387921900bcd34af9989245fd3b7ed6ddfae0ce</vt:lpwstr>
  </property>
</Properties>
</file>